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02" w:rsidRPr="00110450" w:rsidRDefault="00125002" w:rsidP="00125002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964B64" wp14:editId="6AD71457">
            <wp:extent cx="658495" cy="8782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450">
        <w:rPr>
          <w:sz w:val="28"/>
          <w:szCs w:val="28"/>
        </w:rPr>
        <w:br w:type="textWrapping" w:clear="all"/>
      </w:r>
    </w:p>
    <w:p w:rsidR="00125002" w:rsidRDefault="00125002" w:rsidP="00125002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125002" w:rsidRPr="00D427EC" w:rsidRDefault="00125002" w:rsidP="001250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</w:t>
      </w:r>
      <w:r w:rsidRPr="00D427EC">
        <w:rPr>
          <w:b/>
          <w:sz w:val="36"/>
          <w:szCs w:val="36"/>
        </w:rPr>
        <w:t>х</w:t>
      </w:r>
    </w:p>
    <w:p w:rsidR="00125002" w:rsidRPr="00D427EC" w:rsidRDefault="00125002" w:rsidP="00125002">
      <w:pPr>
        <w:pStyle w:val="a7"/>
        <w:rPr>
          <w:b/>
          <w:szCs w:val="32"/>
        </w:rPr>
      </w:pPr>
      <w:r>
        <w:rPr>
          <w:b/>
          <w:szCs w:val="32"/>
        </w:rPr>
        <w:t xml:space="preserve">Ханты-Мансийского автономного округа </w:t>
      </w:r>
      <w:r w:rsidRPr="00D427EC">
        <w:rPr>
          <w:b/>
          <w:szCs w:val="32"/>
        </w:rPr>
        <w:t>-</w:t>
      </w:r>
      <w:r>
        <w:rPr>
          <w:b/>
          <w:szCs w:val="32"/>
        </w:rPr>
        <w:t xml:space="preserve"> </w:t>
      </w:r>
      <w:r w:rsidRPr="00D427EC">
        <w:rPr>
          <w:b/>
          <w:szCs w:val="32"/>
        </w:rPr>
        <w:t>Югр</w:t>
      </w:r>
      <w:r>
        <w:rPr>
          <w:b/>
          <w:szCs w:val="32"/>
        </w:rPr>
        <w:t>ы</w:t>
      </w:r>
    </w:p>
    <w:p w:rsidR="00125002" w:rsidRDefault="00125002" w:rsidP="001250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125002" w:rsidRPr="00970EEF" w:rsidRDefault="00125002" w:rsidP="00125002">
      <w:pPr>
        <w:jc w:val="center"/>
        <w:rPr>
          <w:b/>
          <w:sz w:val="32"/>
          <w:szCs w:val="32"/>
        </w:rPr>
      </w:pPr>
      <w:r w:rsidRPr="00970EEF">
        <w:rPr>
          <w:b/>
          <w:sz w:val="32"/>
          <w:szCs w:val="32"/>
        </w:rPr>
        <w:t>КОМИТЕТ ПО ФИНАНСАМ</w:t>
      </w:r>
    </w:p>
    <w:p w:rsidR="00125002" w:rsidRPr="00D427EC" w:rsidRDefault="00125002" w:rsidP="00125002">
      <w:pPr>
        <w:pStyle w:val="a9"/>
        <w:jc w:val="both"/>
        <w:rPr>
          <w:sz w:val="28"/>
          <w:szCs w:val="28"/>
        </w:rPr>
      </w:pPr>
    </w:p>
    <w:p w:rsidR="00125002" w:rsidRPr="00D427EC" w:rsidRDefault="00125002" w:rsidP="00125002">
      <w:pPr>
        <w:pStyle w:val="a9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125002" w:rsidRPr="00D427EC" w:rsidRDefault="00125002" w:rsidP="00125002">
      <w:pPr>
        <w:pStyle w:val="a9"/>
        <w:jc w:val="both"/>
        <w:rPr>
          <w:sz w:val="28"/>
          <w:szCs w:val="28"/>
        </w:rPr>
      </w:pPr>
    </w:p>
    <w:p w:rsidR="00125002" w:rsidRPr="00D427EC" w:rsidRDefault="00125002" w:rsidP="00125002">
      <w:pPr>
        <w:pStyle w:val="a9"/>
        <w:jc w:val="both"/>
        <w:rPr>
          <w:sz w:val="28"/>
          <w:szCs w:val="28"/>
        </w:rPr>
      </w:pPr>
    </w:p>
    <w:p w:rsidR="00125002" w:rsidRDefault="00125002" w:rsidP="00125002">
      <w:pPr>
        <w:pStyle w:val="a9"/>
        <w:rPr>
          <w:sz w:val="28"/>
          <w:szCs w:val="28"/>
        </w:rPr>
      </w:pPr>
    </w:p>
    <w:p w:rsidR="00125002" w:rsidRPr="007C58FB" w:rsidRDefault="00125002" w:rsidP="00125002">
      <w:pPr>
        <w:pStyle w:val="a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28.10</w:t>
      </w:r>
      <w:r w:rsidRPr="00CA67E6">
        <w:rPr>
          <w:b/>
          <w:color w:val="000000" w:themeColor="text1"/>
          <w:sz w:val="28"/>
          <w:szCs w:val="28"/>
        </w:rPr>
        <w:t>.2024</w:t>
      </w:r>
      <w:r w:rsidRPr="00CA67E6">
        <w:rPr>
          <w:b/>
          <w:color w:val="000000" w:themeColor="text1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  <w:t xml:space="preserve">      </w:t>
      </w:r>
      <w:r w:rsidRPr="006A36CA">
        <w:rPr>
          <w:b/>
          <w:color w:val="FF0000"/>
          <w:sz w:val="28"/>
          <w:szCs w:val="28"/>
        </w:rPr>
        <w:tab/>
      </w:r>
      <w:r w:rsidRPr="006A36CA">
        <w:rPr>
          <w:b/>
          <w:color w:val="FF0000"/>
          <w:sz w:val="28"/>
          <w:szCs w:val="28"/>
        </w:rPr>
        <w:tab/>
        <w:t xml:space="preserve">                                          </w:t>
      </w:r>
      <w:r w:rsidRPr="007C58FB">
        <w:rPr>
          <w:b/>
          <w:color w:val="000000" w:themeColor="text1"/>
          <w:sz w:val="28"/>
          <w:szCs w:val="28"/>
        </w:rPr>
        <w:t xml:space="preserve">№ </w:t>
      </w:r>
      <w:r>
        <w:rPr>
          <w:b/>
          <w:color w:val="000000" w:themeColor="text1"/>
          <w:sz w:val="28"/>
          <w:szCs w:val="28"/>
        </w:rPr>
        <w:t>26</w:t>
      </w:r>
    </w:p>
    <w:p w:rsidR="00125002" w:rsidRPr="006A36CA" w:rsidRDefault="00125002" w:rsidP="00125002">
      <w:pPr>
        <w:pStyle w:val="a5"/>
        <w:ind w:right="4960"/>
        <w:rPr>
          <w:color w:val="FF0000"/>
          <w:sz w:val="28"/>
          <w:szCs w:val="28"/>
        </w:rPr>
      </w:pPr>
    </w:p>
    <w:p w:rsidR="00125002" w:rsidRPr="00BE60CD" w:rsidRDefault="00125002" w:rsidP="00125002">
      <w:pPr>
        <w:spacing w:line="240" w:lineRule="atLeast"/>
        <w:jc w:val="both"/>
        <w:rPr>
          <w:sz w:val="28"/>
          <w:szCs w:val="28"/>
        </w:rPr>
      </w:pPr>
      <w:r w:rsidRPr="00BE60CD">
        <w:rPr>
          <w:sz w:val="28"/>
          <w:szCs w:val="28"/>
        </w:rPr>
        <w:t xml:space="preserve">О порядке </w:t>
      </w:r>
    </w:p>
    <w:p w:rsidR="00125002" w:rsidRPr="00BE60CD" w:rsidRDefault="00125002" w:rsidP="00125002">
      <w:pPr>
        <w:spacing w:line="240" w:lineRule="atLeast"/>
        <w:jc w:val="both"/>
        <w:rPr>
          <w:sz w:val="28"/>
          <w:szCs w:val="28"/>
        </w:rPr>
      </w:pPr>
      <w:r w:rsidRPr="00BE60CD">
        <w:rPr>
          <w:sz w:val="28"/>
          <w:szCs w:val="28"/>
        </w:rPr>
        <w:t xml:space="preserve">составления и представления </w:t>
      </w:r>
    </w:p>
    <w:p w:rsidR="00125002" w:rsidRPr="00BE60CD" w:rsidRDefault="00125002" w:rsidP="00125002">
      <w:pPr>
        <w:spacing w:line="240" w:lineRule="atLeast"/>
        <w:jc w:val="both"/>
        <w:rPr>
          <w:sz w:val="28"/>
          <w:szCs w:val="28"/>
        </w:rPr>
      </w:pPr>
      <w:r w:rsidRPr="00BE60CD">
        <w:rPr>
          <w:sz w:val="28"/>
          <w:szCs w:val="28"/>
        </w:rPr>
        <w:t xml:space="preserve">бюджетной и бухгалтерской </w:t>
      </w:r>
    </w:p>
    <w:p w:rsidR="00125002" w:rsidRPr="00BE60CD" w:rsidRDefault="00125002" w:rsidP="00125002">
      <w:pPr>
        <w:spacing w:line="240" w:lineRule="atLeast"/>
        <w:jc w:val="both"/>
        <w:rPr>
          <w:bCs/>
          <w:sz w:val="28"/>
          <w:szCs w:val="28"/>
        </w:rPr>
      </w:pPr>
      <w:r w:rsidRPr="00BE60CD">
        <w:rPr>
          <w:sz w:val="28"/>
          <w:szCs w:val="28"/>
        </w:rPr>
        <w:t>отчетности</w:t>
      </w:r>
    </w:p>
    <w:p w:rsidR="00125002" w:rsidRPr="0070074A" w:rsidRDefault="00125002" w:rsidP="00125002">
      <w:pPr>
        <w:pStyle w:val="a5"/>
        <w:spacing w:after="200" w:line="276" w:lineRule="auto"/>
        <w:jc w:val="both"/>
        <w:rPr>
          <w:sz w:val="28"/>
          <w:szCs w:val="28"/>
        </w:rPr>
      </w:pPr>
    </w:p>
    <w:p w:rsidR="00125002" w:rsidRDefault="00125002" w:rsidP="00125002">
      <w:pPr>
        <w:spacing w:after="200" w:line="276" w:lineRule="auto"/>
        <w:ind w:firstLine="851"/>
        <w:jc w:val="both"/>
        <w:rPr>
          <w:sz w:val="28"/>
          <w:szCs w:val="28"/>
        </w:rPr>
      </w:pPr>
      <w:r w:rsidRPr="00BE60CD">
        <w:rPr>
          <w:sz w:val="28"/>
          <w:szCs w:val="28"/>
        </w:rPr>
        <w:t xml:space="preserve">В соответствии с пунктом 2 статьи 154 Бюджетного кодекса Российской Федерации, руководствуясь </w:t>
      </w:r>
      <w:r w:rsidRPr="00BE60CD">
        <w:rPr>
          <w:spacing w:val="8"/>
          <w:sz w:val="28"/>
          <w:szCs w:val="28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Pr="00BE60CD">
        <w:rPr>
          <w:spacing w:val="6"/>
          <w:sz w:val="28"/>
          <w:szCs w:val="28"/>
        </w:rPr>
        <w:t>Министерства финансов Российской Федерации   от 28 декабря 2010 года № 191н,</w:t>
      </w:r>
      <w:r w:rsidRPr="00BE60CD">
        <w:rPr>
          <w:sz w:val="28"/>
          <w:szCs w:val="28"/>
        </w:rPr>
        <w:t xml:space="preserve"> Инструкцией о порядке составления и представления годовой, квартальной отчетности государственных (муниципальных) бюджетных и автономных учреждений </w:t>
      </w:r>
      <w:r w:rsidRPr="00BE60CD">
        <w:rPr>
          <w:spacing w:val="8"/>
          <w:sz w:val="28"/>
          <w:szCs w:val="28"/>
        </w:rPr>
        <w:t xml:space="preserve">утвержденной приказом </w:t>
      </w:r>
      <w:r w:rsidRPr="00BE60CD">
        <w:rPr>
          <w:spacing w:val="6"/>
          <w:sz w:val="28"/>
          <w:szCs w:val="28"/>
        </w:rPr>
        <w:t>Министерства финансов Российской Федерации   от 25 марта 2011 года № 33н</w:t>
      </w:r>
      <w:r>
        <w:rPr>
          <w:sz w:val="28"/>
          <w:szCs w:val="28"/>
        </w:rPr>
        <w:t>, а так же в связи с неоднократным внесением изменений в приказ комитета по финансам от 24.03.2021 года  №18 «О порядке составления и представления бюджетной и бухгалтерской отчетности»:</w:t>
      </w:r>
    </w:p>
    <w:p w:rsidR="00125002" w:rsidRDefault="00125002" w:rsidP="00125002">
      <w:pPr>
        <w:spacing w:after="20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25002" w:rsidRDefault="00125002" w:rsidP="00125002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AD01FA">
        <w:rPr>
          <w:sz w:val="28"/>
          <w:szCs w:val="28"/>
        </w:rPr>
        <w:t xml:space="preserve">Утвердить Порядок составления и представления бюджетной отчетности об исполнении бюджета города Пыть-Яха главными распорядителями (получателями) средств бюджета города Пыть-Яха, главными администраторами (администраторами) доходов бюджета города </w:t>
      </w:r>
      <w:r w:rsidRPr="00AD01FA">
        <w:rPr>
          <w:sz w:val="28"/>
          <w:szCs w:val="28"/>
        </w:rPr>
        <w:lastRenderedPageBreak/>
        <w:t>Пыть-Яха, главными администраторами (администраторами) источников финансирования дефицита бюджета города Пыть-Яха</w:t>
      </w:r>
      <w:r>
        <w:rPr>
          <w:sz w:val="28"/>
          <w:szCs w:val="28"/>
        </w:rPr>
        <w:t>,</w:t>
      </w:r>
      <w:r w:rsidRPr="00AD01FA">
        <w:rPr>
          <w:sz w:val="28"/>
          <w:szCs w:val="28"/>
        </w:rPr>
        <w:t xml:space="preserve"> сводной бухгалтерской отчетности бюджетных и автономных учреждений</w:t>
      </w:r>
      <w:r>
        <w:rPr>
          <w:sz w:val="28"/>
          <w:szCs w:val="28"/>
        </w:rPr>
        <w:t xml:space="preserve"> города</w:t>
      </w:r>
      <w:r w:rsidRPr="00AD01FA">
        <w:rPr>
          <w:sz w:val="28"/>
          <w:szCs w:val="28"/>
        </w:rPr>
        <w:t xml:space="preserve"> Пыть-Яха (Приложение</w:t>
      </w:r>
      <w:r>
        <w:rPr>
          <w:sz w:val="28"/>
          <w:szCs w:val="28"/>
        </w:rPr>
        <w:t>)</w:t>
      </w:r>
      <w:r w:rsidRPr="00AD01FA">
        <w:rPr>
          <w:sz w:val="28"/>
          <w:szCs w:val="28"/>
        </w:rPr>
        <w:t>.</w:t>
      </w:r>
    </w:p>
    <w:p w:rsidR="00125002" w:rsidRDefault="00125002" w:rsidP="00125002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36031D">
        <w:rPr>
          <w:sz w:val="28"/>
          <w:szCs w:val="28"/>
        </w:rPr>
        <w:t>Признать утратившим силу приказ комитета по финансам от 24.03.2021 №18 «О порядке составления и представления бюджетной и бухгалтерской отчетности»</w:t>
      </w:r>
      <w:r>
        <w:rPr>
          <w:sz w:val="28"/>
          <w:szCs w:val="28"/>
        </w:rPr>
        <w:t>.</w:t>
      </w:r>
    </w:p>
    <w:p w:rsidR="00125002" w:rsidRPr="0036031D" w:rsidRDefault="00125002" w:rsidP="00125002">
      <w:pPr>
        <w:numPr>
          <w:ilvl w:val="0"/>
          <w:numId w:val="5"/>
        </w:numPr>
        <w:spacing w:after="200" w:line="276" w:lineRule="auto"/>
        <w:ind w:left="0" w:firstLine="851"/>
        <w:jc w:val="both"/>
        <w:rPr>
          <w:sz w:val="28"/>
          <w:szCs w:val="28"/>
        </w:rPr>
      </w:pPr>
      <w:r w:rsidRPr="0036031D">
        <w:rPr>
          <w:sz w:val="28"/>
          <w:szCs w:val="28"/>
        </w:rPr>
        <w:t>Отделу отчетности, обслуживания муниципального долга и казначейского исполнения комитета по финансам администрации города Пыть-Яха довести настоящий Приказ до МКУ «Центр бухгалтерского и комплексного обслуживания муниципальных учреждений города Пыть-Яха».</w:t>
      </w:r>
    </w:p>
    <w:p w:rsidR="00125002" w:rsidRPr="00BE60CD" w:rsidRDefault="00125002" w:rsidP="00125002">
      <w:pPr>
        <w:spacing w:after="20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60CD">
        <w:rPr>
          <w:sz w:val="28"/>
          <w:szCs w:val="28"/>
        </w:rPr>
        <w:t>.</w:t>
      </w:r>
      <w:r w:rsidRPr="00BE60CD">
        <w:rPr>
          <w:sz w:val="28"/>
          <w:szCs w:val="28"/>
        </w:rPr>
        <w:tab/>
        <w:t xml:space="preserve">Контроль за исполнением приказа возложить на </w:t>
      </w:r>
      <w:r>
        <w:rPr>
          <w:sz w:val="28"/>
          <w:szCs w:val="28"/>
        </w:rPr>
        <w:t>заместителя председателя комитета-</w:t>
      </w:r>
      <w:r w:rsidRPr="00BE60CD">
        <w:rPr>
          <w:sz w:val="28"/>
          <w:szCs w:val="28"/>
        </w:rPr>
        <w:t>начальника отдела отчетности, обслуживания муниципального долга и казначейского исполнения бюджета Кочурову И.Г.</w:t>
      </w:r>
    </w:p>
    <w:p w:rsidR="00125002" w:rsidRPr="00BE60CD" w:rsidRDefault="00125002" w:rsidP="00125002">
      <w:pPr>
        <w:spacing w:after="200" w:line="276" w:lineRule="auto"/>
        <w:ind w:firstLine="851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>5</w:t>
      </w:r>
      <w:r w:rsidRPr="00BE60CD">
        <w:rPr>
          <w:sz w:val="28"/>
          <w:szCs w:val="28"/>
        </w:rPr>
        <w:t>. Приказ вступает в силу с момента его подписания.</w:t>
      </w:r>
      <w:r w:rsidRPr="00BE60CD">
        <w:rPr>
          <w:b/>
          <w:bCs/>
          <w:sz w:val="26"/>
          <w:szCs w:val="26"/>
        </w:rPr>
        <w:t xml:space="preserve"> 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города-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07A5B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финансам                                           В.В.Стефогло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  <w:bookmarkStart w:id="0" w:name="_GoBack"/>
      <w:bookmarkEnd w:id="0"/>
      <w:r w:rsidRPr="00115614">
        <w:rPr>
          <w:sz w:val="20"/>
          <w:szCs w:val="20"/>
        </w:rPr>
        <w:t>Приложение к приказу комитета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  <w:r w:rsidRPr="00115614">
        <w:rPr>
          <w:sz w:val="20"/>
          <w:szCs w:val="20"/>
        </w:rPr>
        <w:t>по финансам администрации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  <w:r w:rsidRPr="00115614">
        <w:rPr>
          <w:sz w:val="20"/>
          <w:szCs w:val="20"/>
        </w:rPr>
        <w:t>города Пыть-Яха от 28.10.2024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  <w:r w:rsidRPr="00115614">
        <w:rPr>
          <w:sz w:val="20"/>
          <w:szCs w:val="20"/>
        </w:rPr>
        <w:t>№26 «О порядке составления и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  <w:r w:rsidRPr="00115614">
        <w:rPr>
          <w:sz w:val="20"/>
          <w:szCs w:val="20"/>
        </w:rPr>
        <w:t xml:space="preserve">представления бюджетной </w:t>
      </w:r>
      <w:r>
        <w:rPr>
          <w:sz w:val="20"/>
          <w:szCs w:val="20"/>
        </w:rPr>
        <w:t>и</w:t>
      </w:r>
      <w:r w:rsidRPr="00173371">
        <w:rPr>
          <w:sz w:val="20"/>
          <w:szCs w:val="20"/>
        </w:rPr>
        <w:t xml:space="preserve"> </w:t>
      </w:r>
    </w:p>
    <w:p w:rsidR="00125002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line="20" w:lineRule="atLeast"/>
        <w:jc w:val="right"/>
        <w:rPr>
          <w:sz w:val="20"/>
          <w:szCs w:val="20"/>
        </w:rPr>
      </w:pPr>
      <w:r w:rsidRPr="00115614">
        <w:rPr>
          <w:sz w:val="20"/>
          <w:szCs w:val="20"/>
        </w:rPr>
        <w:t>бухгалтерской отчетности»</w:t>
      </w:r>
      <w:r>
        <w:rPr>
          <w:sz w:val="20"/>
          <w:szCs w:val="20"/>
        </w:rPr>
        <w:t xml:space="preserve"> </w:t>
      </w:r>
    </w:p>
    <w:p w:rsidR="00125002" w:rsidRPr="00115614" w:rsidRDefault="00125002" w:rsidP="00125002">
      <w:pPr>
        <w:widowControl w:val="0"/>
        <w:tabs>
          <w:tab w:val="left" w:pos="993"/>
        </w:tabs>
        <w:autoSpaceDE w:val="0"/>
        <w:autoSpaceDN w:val="0"/>
        <w:adjustRightInd w:val="0"/>
        <w:spacing w:after="100" w:afterAutospacing="1" w:line="20" w:lineRule="atLeast"/>
        <w:jc w:val="both"/>
        <w:rPr>
          <w:sz w:val="20"/>
          <w:szCs w:val="20"/>
        </w:rPr>
      </w:pPr>
    </w:p>
    <w:p w:rsidR="00125002" w:rsidRDefault="00125002" w:rsidP="00125002">
      <w:pPr>
        <w:spacing w:line="240" w:lineRule="atLeast"/>
        <w:jc w:val="center"/>
        <w:rPr>
          <w:b/>
          <w:sz w:val="28"/>
          <w:szCs w:val="28"/>
        </w:rPr>
      </w:pPr>
      <w:r w:rsidRPr="00115614">
        <w:rPr>
          <w:b/>
          <w:sz w:val="28"/>
          <w:szCs w:val="28"/>
        </w:rPr>
        <w:t>Порядок составления и представления бюджетной отчетности об исполнении бюджета города Пыть-Яха, главными распорядителями (получателями)</w:t>
      </w:r>
      <w:r>
        <w:rPr>
          <w:b/>
          <w:sz w:val="28"/>
          <w:szCs w:val="28"/>
        </w:rPr>
        <w:t xml:space="preserve"> </w:t>
      </w:r>
      <w:r w:rsidRPr="00115614">
        <w:rPr>
          <w:b/>
          <w:sz w:val="28"/>
          <w:szCs w:val="28"/>
        </w:rPr>
        <w:t>средств бюджета города Пыть-Яха, главными администраторами (администраторами) доходов города Пыть-Яха, главными администраторами (администраторами) источников финансирования дефицита бюджета города Пыть-Яха и сводной бухгалтерской отчетности бюджетных и автономных учреждений города Пыть-Яха.</w:t>
      </w:r>
    </w:p>
    <w:p w:rsidR="00125002" w:rsidRPr="00115614" w:rsidRDefault="00125002" w:rsidP="00125002">
      <w:pPr>
        <w:spacing w:line="240" w:lineRule="atLeast"/>
        <w:jc w:val="center"/>
        <w:rPr>
          <w:b/>
          <w:sz w:val="28"/>
          <w:szCs w:val="28"/>
        </w:rPr>
      </w:pPr>
      <w:r w:rsidRPr="00115614">
        <w:rPr>
          <w:b/>
          <w:sz w:val="28"/>
          <w:szCs w:val="28"/>
        </w:rPr>
        <w:t>(далее – Порядок)</w:t>
      </w:r>
    </w:p>
    <w:p w:rsidR="00125002" w:rsidRPr="00115614" w:rsidRDefault="00125002" w:rsidP="00125002">
      <w:pPr>
        <w:spacing w:afterLines="200" w:after="480" w:line="276" w:lineRule="auto"/>
        <w:ind w:firstLine="708"/>
        <w:jc w:val="center"/>
        <w:rPr>
          <w:b/>
          <w:sz w:val="28"/>
          <w:szCs w:val="28"/>
        </w:rPr>
      </w:pPr>
      <w:r w:rsidRPr="00115614">
        <w:rPr>
          <w:b/>
          <w:sz w:val="28"/>
          <w:szCs w:val="28"/>
          <w:lang w:val="en-US"/>
        </w:rPr>
        <w:t>I</w:t>
      </w:r>
      <w:r w:rsidRPr="00115614">
        <w:rPr>
          <w:sz w:val="28"/>
          <w:szCs w:val="28"/>
        </w:rPr>
        <w:t>.</w:t>
      </w:r>
      <w:r w:rsidRPr="00115614">
        <w:rPr>
          <w:b/>
          <w:sz w:val="28"/>
          <w:szCs w:val="28"/>
        </w:rPr>
        <w:t>Общие положения</w:t>
      </w:r>
    </w:p>
    <w:p w:rsidR="00125002" w:rsidRPr="00DC5121" w:rsidRDefault="00125002" w:rsidP="00125002">
      <w:p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5121">
        <w:rPr>
          <w:sz w:val="28"/>
          <w:szCs w:val="28"/>
        </w:rPr>
        <w:t xml:space="preserve">1. Бюджетная отчетность об исполнении бюджета (далее – бюджетная отчетность) города Пыть-Яха (далее – </w:t>
      </w:r>
      <w:r>
        <w:rPr>
          <w:sz w:val="28"/>
          <w:szCs w:val="28"/>
        </w:rPr>
        <w:t>города</w:t>
      </w:r>
      <w:r w:rsidRPr="00DC5121">
        <w:rPr>
          <w:sz w:val="28"/>
          <w:szCs w:val="28"/>
        </w:rPr>
        <w:t xml:space="preserve">) составляется главными распорядителями (получателями) средств бюджета </w:t>
      </w:r>
      <w:r>
        <w:rPr>
          <w:sz w:val="28"/>
          <w:szCs w:val="28"/>
        </w:rPr>
        <w:t>города</w:t>
      </w:r>
      <w:r w:rsidRPr="00DC5121">
        <w:rPr>
          <w:sz w:val="28"/>
          <w:szCs w:val="28"/>
        </w:rPr>
        <w:t xml:space="preserve">, главными администраторами (администраторами) доходов бюджета </w:t>
      </w:r>
      <w:r>
        <w:rPr>
          <w:sz w:val="28"/>
          <w:szCs w:val="28"/>
        </w:rPr>
        <w:t>города</w:t>
      </w:r>
      <w:r w:rsidRPr="00DC5121">
        <w:rPr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>
        <w:rPr>
          <w:sz w:val="28"/>
          <w:szCs w:val="28"/>
        </w:rPr>
        <w:t>города</w:t>
      </w:r>
      <w:r w:rsidRPr="00DC5121">
        <w:rPr>
          <w:sz w:val="28"/>
          <w:szCs w:val="28"/>
        </w:rPr>
        <w:t>, бюджетными, автономными и иными учреждениями указанны</w:t>
      </w:r>
      <w:r>
        <w:rPr>
          <w:sz w:val="28"/>
          <w:szCs w:val="28"/>
        </w:rPr>
        <w:t>ми</w:t>
      </w:r>
      <w:r w:rsidRPr="00DC5121">
        <w:rPr>
          <w:sz w:val="28"/>
          <w:szCs w:val="28"/>
        </w:rPr>
        <w:t xml:space="preserve"> в ведомственной структуре расходов бюджета, осуществляющие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бюджета </w:t>
      </w:r>
      <w:r>
        <w:rPr>
          <w:sz w:val="28"/>
          <w:szCs w:val="28"/>
        </w:rPr>
        <w:t>города</w:t>
      </w:r>
      <w:r w:rsidRPr="00DC5121">
        <w:rPr>
          <w:sz w:val="28"/>
          <w:szCs w:val="28"/>
        </w:rPr>
        <w:t xml:space="preserve"> на выполнение установленного ему муниципального задания, централизованной бухгалтерией уполномоченной на ведение бюджетного учета и составление бюджетной отчетности (далее – субъекты отчетности ).</w:t>
      </w:r>
    </w:p>
    <w:p w:rsidR="00125002" w:rsidRPr="00DC5121" w:rsidRDefault="00125002" w:rsidP="00125002">
      <w:p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5121">
        <w:rPr>
          <w:sz w:val="28"/>
          <w:szCs w:val="28"/>
        </w:rPr>
        <w:t>Бюджетная отчетность составляется по методологии и стандартам бюджетной отчетности, установленным</w:t>
      </w:r>
      <w:r w:rsidRPr="00DC5121">
        <w:rPr>
          <w:spacing w:val="8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 w:rsidRPr="00DC5121">
        <w:rPr>
          <w:spacing w:val="6"/>
          <w:sz w:val="28"/>
          <w:szCs w:val="28"/>
        </w:rPr>
        <w:t xml:space="preserve">Министерства финансов Российской Федерации от 28 декабря 2010 года № 191н (далее – Инструкция № 191н), приказом Министерства финансов Российской федерации от 1 марта 2016 г. № 15н «Об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представления» (далее –Приказ № 15н) и </w:t>
      </w:r>
      <w:r w:rsidRPr="00DC5121">
        <w:rPr>
          <w:spacing w:val="9"/>
          <w:sz w:val="28"/>
          <w:szCs w:val="28"/>
        </w:rPr>
        <w:t>настоящим Порядком</w:t>
      </w:r>
      <w:r w:rsidRPr="00DC5121">
        <w:rPr>
          <w:sz w:val="28"/>
          <w:szCs w:val="28"/>
        </w:rPr>
        <w:t>.</w:t>
      </w:r>
    </w:p>
    <w:p w:rsidR="00125002" w:rsidRPr="00DC5121" w:rsidRDefault="00125002" w:rsidP="00125002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lastRenderedPageBreak/>
        <w:t xml:space="preserve">Бухгалтерская отчетность муниципальных бюджетных и автономных учреждений города Пыть-Яха (далее – бухгалтерская отчетность) составляется по методологии и стандартам бухгалтерской отчетности, установленным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Министерством финансов Российской Федерации от 25 марта 2011 года № 33н (далее – Инструкция № 33н) и настоящим Порядком, представляется муниципальными бюджетными и автономными учреждениями, сводная бухгалтерская отчетность бюджетных и автономных учреждений представляется централизованной бухгалтерией уполномоченной на ведение бухгалтерского учета и составление бухгалтерской отчетности (далее – субъект отчетности). </w:t>
      </w:r>
    </w:p>
    <w:p w:rsidR="00125002" w:rsidRPr="00DC5121" w:rsidRDefault="00125002" w:rsidP="00125002">
      <w:pPr>
        <w:widowControl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2. Субъект отчетности составляет бюджетную и бухгалтерскую отчетность (далее – финансовая отчетность) на следующие даты:</w:t>
      </w:r>
    </w:p>
    <w:p w:rsidR="00125002" w:rsidRPr="00DC5121" w:rsidRDefault="00125002" w:rsidP="00125002">
      <w:pPr>
        <w:widowControl w:val="0"/>
        <w:spacing w:after="200" w:line="276" w:lineRule="auto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5121">
        <w:rPr>
          <w:sz w:val="28"/>
          <w:szCs w:val="28"/>
        </w:rPr>
        <w:t>месячная – на 1-е число месяца, следующего за отчетным;</w:t>
      </w:r>
    </w:p>
    <w:p w:rsidR="00125002" w:rsidRPr="00DC5121" w:rsidRDefault="00125002" w:rsidP="00125002">
      <w:pPr>
        <w:widowControl w:val="0"/>
        <w:spacing w:after="200" w:line="276" w:lineRule="auto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5121">
        <w:rPr>
          <w:sz w:val="28"/>
          <w:szCs w:val="28"/>
        </w:rPr>
        <w:t>квартальная – по состоянию на 1 апреля, 1 июля и 1 октября текущего финансового года;</w:t>
      </w:r>
    </w:p>
    <w:p w:rsidR="00125002" w:rsidRPr="00DC5121" w:rsidRDefault="00125002" w:rsidP="00125002">
      <w:pPr>
        <w:widowControl w:val="0"/>
        <w:spacing w:after="200" w:line="276" w:lineRule="auto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5121">
        <w:rPr>
          <w:sz w:val="28"/>
          <w:szCs w:val="28"/>
        </w:rPr>
        <w:t xml:space="preserve">годовая – на 1 января очередного финансового года. </w:t>
      </w:r>
    </w:p>
    <w:p w:rsidR="00125002" w:rsidRPr="00DC5121" w:rsidRDefault="00125002" w:rsidP="00125002">
      <w:pPr>
        <w:widowControl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Отчетным годом является календарный год – с 1 января по 31 декабря включительно.</w:t>
      </w:r>
    </w:p>
    <w:p w:rsidR="00125002" w:rsidRPr="00DC5121" w:rsidRDefault="00125002" w:rsidP="00125002">
      <w:pPr>
        <w:widowControl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Консолидированная (сводная) финансовая отчетность по главным администраторам и главным распорядителям бюджетных средств города Пыть-Яха представляется годовая – по состоянию на 1 января года, следующего за отчетным.</w:t>
      </w:r>
    </w:p>
    <w:p w:rsidR="00125002" w:rsidRPr="00DC5121" w:rsidRDefault="00125002" w:rsidP="00125002">
      <w:pPr>
        <w:widowControl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Бюджетная (бухгалтерская) отчетность составляется нарастающим итогом с начала года в рублях с точностью до второго десятичного знака после запятой. </w:t>
      </w:r>
    </w:p>
    <w:p w:rsidR="00125002" w:rsidRPr="00DC5121" w:rsidRDefault="00125002" w:rsidP="00125002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Субъекты бюджетной отчетности, ответственные за формирование консолидированной (сводной) бюджетной и бухгалтерской отчетности по соответствующему периметру консолидации (свода) признаются в целях настоящего Порядка субъектами консолидированной (сводной) отчетности.</w:t>
      </w:r>
      <w:r w:rsidRPr="00DC5121">
        <w:rPr>
          <w:sz w:val="28"/>
          <w:szCs w:val="28"/>
        </w:rPr>
        <w:br/>
        <w:t xml:space="preserve">         Для целей настоящего Порядка периметром консолидации (свода) признается перечень субъектов финансовой отчетности, утвержденный приказом комитета по финансам. </w:t>
      </w:r>
    </w:p>
    <w:p w:rsidR="00125002" w:rsidRPr="00DC5121" w:rsidRDefault="00125002" w:rsidP="00125002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3. Финансовая отчетность представляется в комитет по финансам администрации города Пыть-Яха (далее – комитет по финансам) субъектом отчетности в сроки, установленные приказом комитета по финансам.</w:t>
      </w:r>
    </w:p>
    <w:p w:rsidR="00125002" w:rsidRPr="00266E2C" w:rsidRDefault="00125002" w:rsidP="00125002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266E2C">
        <w:rPr>
          <w:sz w:val="28"/>
          <w:szCs w:val="28"/>
        </w:rPr>
        <w:t>4. Финансовая отчетность формируется и представляется в комитет по финансам в соответствии с пунктом 4 Инструкции 191н, пунктом 6 Инструкции 33н.</w:t>
      </w:r>
    </w:p>
    <w:p w:rsidR="00125002" w:rsidRPr="00266E2C" w:rsidRDefault="00125002" w:rsidP="00125002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6E2C">
        <w:rPr>
          <w:rFonts w:eastAsia="Calibri"/>
          <w:sz w:val="28"/>
          <w:szCs w:val="28"/>
          <w:lang w:eastAsia="en-US"/>
        </w:rPr>
        <w:lastRenderedPageBreak/>
        <w:t>Финансовая отчетность, сформированная в виде электронного документа, через информационно-аналитическую систему «</w:t>
      </w:r>
      <w:r w:rsidRPr="00266E2C">
        <w:rPr>
          <w:rFonts w:eastAsia="Calibri"/>
          <w:sz w:val="28"/>
          <w:szCs w:val="28"/>
          <w:lang w:val="en-US" w:eastAsia="en-US"/>
        </w:rPr>
        <w:t>WEB</w:t>
      </w:r>
      <w:r w:rsidRPr="00266E2C">
        <w:rPr>
          <w:rFonts w:eastAsia="Calibri"/>
          <w:sz w:val="28"/>
          <w:szCs w:val="28"/>
          <w:lang w:eastAsia="en-US"/>
        </w:rPr>
        <w:t xml:space="preserve">-Консолидация» (далее ИАС) представляется одновременно на бумажном носителе, формы которой подписаны электронно-цифровой подписью в ИАС. </w:t>
      </w:r>
    </w:p>
    <w:p w:rsidR="00125002" w:rsidRPr="00266E2C" w:rsidRDefault="00125002" w:rsidP="0012500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6E2C">
        <w:rPr>
          <w:rFonts w:eastAsia="Calibri"/>
          <w:sz w:val="28"/>
          <w:szCs w:val="28"/>
          <w:lang w:eastAsia="en-US"/>
        </w:rPr>
        <w:t>Финансовая отчетность, а также дополнительные формы финансовой отчетности, подписываются в соответствии с пунктом 6 Инструкции 191н, пунктом 5 Инструкции 33н.</w:t>
      </w:r>
    </w:p>
    <w:p w:rsidR="00125002" w:rsidRPr="00266E2C" w:rsidRDefault="00125002" w:rsidP="00125002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6E2C">
        <w:rPr>
          <w:rFonts w:eastAsia="Calibri"/>
          <w:sz w:val="28"/>
          <w:szCs w:val="28"/>
          <w:lang w:eastAsia="en-US"/>
        </w:rPr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125002" w:rsidRPr="00DC5121" w:rsidRDefault="00125002" w:rsidP="00125002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5. Дополнительные формы финансовой отчетности для их представления в составе месячной, квартальной, годовой бюджетной и бухгалтерской отчетности, а также порядок их составления и представления могут быть установлены комитетом по финансам администрации города Пыть-Яха.</w:t>
      </w:r>
    </w:p>
    <w:p w:rsidR="00125002" w:rsidRPr="00DC5121" w:rsidRDefault="00125002" w:rsidP="00125002">
      <w:pPr>
        <w:widowControl w:val="0"/>
        <w:autoSpaceDE w:val="0"/>
        <w:autoSpaceDN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6. Ответственные лица за формирование финансовой отчетности, обязаны производить проверку представленной им финансовой отчетности на соответствие требованиям к ее составлению и представлению, установленным настоящим Порядком.</w:t>
      </w:r>
    </w:p>
    <w:p w:rsidR="00125002" w:rsidRPr="00DC5121" w:rsidRDefault="00125002" w:rsidP="00125002">
      <w:pPr>
        <w:widowControl w:val="0"/>
        <w:autoSpaceDE w:val="0"/>
        <w:autoSpaceDN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Финансовая отчетность представляется в комитет по финансам после проведения субъектом отчетности проверки:</w:t>
      </w:r>
    </w:p>
    <w:p w:rsidR="00125002" w:rsidRPr="00DC5121" w:rsidRDefault="00125002" w:rsidP="00125002">
      <w:pPr>
        <w:widowControl w:val="0"/>
        <w:tabs>
          <w:tab w:val="left" w:pos="0"/>
        </w:tabs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5121">
        <w:rPr>
          <w:sz w:val="28"/>
          <w:szCs w:val="28"/>
        </w:rPr>
        <w:t>на соответствие контрольным соотношениям для каждой из форм отчета, установленным Инструкцией № 191н, Приказа 15н и Инструкцией № 33н;</w:t>
      </w:r>
    </w:p>
    <w:p w:rsidR="00125002" w:rsidRPr="00DC5121" w:rsidRDefault="00125002" w:rsidP="00125002">
      <w:pPr>
        <w:widowControl w:val="0"/>
        <w:autoSpaceDE w:val="0"/>
        <w:autoSpaceDN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на соответствие контрольным соотношениям взаимосвязанных показателей финансовой отчетности главных распорядителей (получателей) средств бюджета </w:t>
      </w:r>
      <w:r>
        <w:rPr>
          <w:sz w:val="28"/>
          <w:szCs w:val="28"/>
        </w:rPr>
        <w:t>города</w:t>
      </w:r>
      <w:r w:rsidRPr="00DC5121">
        <w:rPr>
          <w:sz w:val="28"/>
          <w:szCs w:val="28"/>
        </w:rPr>
        <w:t xml:space="preserve"> и финансовой отчетности муниципальных бюджетных и автономных учреждений разработанным Федеральным казначейством РФ и размещенным на официальном сайте Федерального казначейства;</w:t>
      </w:r>
    </w:p>
    <w:p w:rsidR="00125002" w:rsidRPr="00DC5121" w:rsidRDefault="00125002" w:rsidP="00125002">
      <w:pPr>
        <w:widowControl w:val="0"/>
        <w:autoSpaceDE w:val="0"/>
        <w:autoSpaceDN w:val="0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lastRenderedPageBreak/>
        <w:t xml:space="preserve">на соответствие методическим рекомендациям доведенные письмами Минфина РФ, Департаментом финансов ХМАО-Югры и комитетом по финансам. </w:t>
      </w:r>
    </w:p>
    <w:p w:rsidR="00125002" w:rsidRPr="00DC5121" w:rsidRDefault="00125002" w:rsidP="00125002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7. В случае если все показатели, предусмотренные формой финансовой отчетности, не имеют числового значения, такая форма отчетности не составляется, информация, о чем подлежит отражению в пояснительной записке к финансовой отчетности за отчетный период.</w:t>
      </w:r>
    </w:p>
    <w:p w:rsidR="00125002" w:rsidRPr="00DC5121" w:rsidRDefault="00125002" w:rsidP="00125002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При осуществлении формирования и (или) представления финансовой отчетности с использованием ИАС «</w:t>
      </w:r>
      <w:r w:rsidRPr="00DC5121">
        <w:rPr>
          <w:sz w:val="28"/>
          <w:szCs w:val="28"/>
          <w:lang w:val="en-US"/>
        </w:rPr>
        <w:t>WEB</w:t>
      </w:r>
      <w:r w:rsidRPr="00DC5121">
        <w:rPr>
          <w:sz w:val="28"/>
          <w:szCs w:val="28"/>
        </w:rPr>
        <w:t>-Консолидация» документы финансовой отчетности, не имеющие числовых значений показателей и не содержащие пояснения, формируются и представляются в состоянии «На проверке» с указанием отметки (статуса) "Показатели отсутствуют".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В случае выполнения субъектом отчетности нескольких бюджетных полномочий при исполнении бюджета </w:t>
      </w:r>
      <w:r>
        <w:rPr>
          <w:sz w:val="28"/>
          <w:szCs w:val="28"/>
        </w:rPr>
        <w:t>города</w:t>
      </w:r>
      <w:r w:rsidRPr="00DC5121">
        <w:rPr>
          <w:sz w:val="28"/>
          <w:szCs w:val="28"/>
        </w:rPr>
        <w:t xml:space="preserve"> (получателя бюджетных средств, администратора доходов бюджета, администратора источников финансирования дефицитов бюджетов), субъектом отчетности формируется единый комплект финансовой отчетности по совокупности выполняемых им полномочий.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sz w:val="28"/>
          <w:szCs w:val="28"/>
        </w:rPr>
        <w:t xml:space="preserve">8. </w:t>
      </w:r>
      <w:r w:rsidRPr="00266E2C">
        <w:rPr>
          <w:rFonts w:eastAsia="Calibri"/>
          <w:sz w:val="28"/>
          <w:szCs w:val="28"/>
          <w:lang w:eastAsia="en-US"/>
        </w:rPr>
        <w:t>Даты представления, принятия и утверждения годовой финансовой отчетности определяются в соответствии с п</w:t>
      </w:r>
      <w:r w:rsidRPr="00266E2C">
        <w:rPr>
          <w:color w:val="000000"/>
          <w:kern w:val="24"/>
          <w:sz w:val="28"/>
          <w:szCs w:val="28"/>
        </w:rPr>
        <w:t>.10 Приказа 191н, п.6 Приказа 33н, разделом 5 Приказа Минфина России от 30.12.2017 N 274н "Об утверждении федерального стандарта бухгалтерского учета для организаций государственного сектора "Учетная политик</w:t>
      </w:r>
      <w:r>
        <w:rPr>
          <w:color w:val="000000"/>
          <w:kern w:val="24"/>
          <w:sz w:val="28"/>
          <w:szCs w:val="28"/>
        </w:rPr>
        <w:t>а, оценочные значения и ошибки".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color w:val="000000"/>
          <w:kern w:val="24"/>
          <w:sz w:val="28"/>
          <w:szCs w:val="28"/>
        </w:rPr>
        <w:t xml:space="preserve">8.1. В части представлении </w:t>
      </w:r>
      <w:r w:rsidRPr="00266E2C">
        <w:rPr>
          <w:i/>
          <w:color w:val="000000"/>
          <w:kern w:val="24"/>
          <w:sz w:val="28"/>
          <w:szCs w:val="28"/>
        </w:rPr>
        <w:t>месячной и квартальной</w:t>
      </w:r>
      <w:r w:rsidRPr="00266E2C">
        <w:rPr>
          <w:color w:val="000000"/>
          <w:kern w:val="24"/>
          <w:sz w:val="28"/>
          <w:szCs w:val="28"/>
        </w:rPr>
        <w:t xml:space="preserve"> финансовой отчетности в электронном виде в ИАС; 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color w:val="000000"/>
          <w:kern w:val="24"/>
          <w:sz w:val="28"/>
          <w:szCs w:val="28"/>
        </w:rPr>
        <w:t>- датой представления финансовой отчетности считается датой присвоения состояния финансовой отчетности «На проверке»;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color w:val="000000"/>
          <w:kern w:val="24"/>
          <w:sz w:val="28"/>
          <w:szCs w:val="28"/>
        </w:rPr>
        <w:t xml:space="preserve">- датой принятия и утверждения финансовой отчетности считается датой присвоения состояния финансовой отчетности «Принят»;    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color w:val="000000"/>
          <w:kern w:val="24"/>
          <w:sz w:val="28"/>
          <w:szCs w:val="28"/>
        </w:rPr>
        <w:t xml:space="preserve">8.2. В части представлении </w:t>
      </w:r>
      <w:r w:rsidRPr="00266E2C">
        <w:rPr>
          <w:i/>
          <w:color w:val="000000"/>
          <w:kern w:val="24"/>
          <w:sz w:val="28"/>
          <w:szCs w:val="28"/>
        </w:rPr>
        <w:t xml:space="preserve">годовой </w:t>
      </w:r>
      <w:r w:rsidRPr="00266E2C">
        <w:rPr>
          <w:color w:val="000000"/>
          <w:kern w:val="24"/>
          <w:sz w:val="28"/>
          <w:szCs w:val="28"/>
        </w:rPr>
        <w:t xml:space="preserve">финансовой отчетности в электронном виде в ИАС; 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color w:val="000000"/>
          <w:kern w:val="24"/>
          <w:sz w:val="28"/>
          <w:szCs w:val="28"/>
        </w:rPr>
        <w:t>- датой представления финансовой отчетности считается датой присвоения состояния финансовой отчетности «На проверке»;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color w:val="000000"/>
          <w:kern w:val="24"/>
          <w:sz w:val="28"/>
          <w:szCs w:val="28"/>
        </w:rPr>
        <w:t>- датой принятия финансовой отчетно</w:t>
      </w:r>
      <w:r>
        <w:rPr>
          <w:color w:val="000000"/>
          <w:kern w:val="24"/>
          <w:sz w:val="28"/>
          <w:szCs w:val="28"/>
        </w:rPr>
        <w:t xml:space="preserve">сти считается дата Уведомления </w:t>
      </w:r>
      <w:r w:rsidRPr="00266E2C">
        <w:rPr>
          <w:color w:val="000000"/>
          <w:kern w:val="24"/>
          <w:sz w:val="28"/>
          <w:szCs w:val="28"/>
        </w:rPr>
        <w:t>Приложение №</w:t>
      </w:r>
      <w:r>
        <w:rPr>
          <w:color w:val="000000"/>
          <w:kern w:val="24"/>
          <w:sz w:val="28"/>
          <w:szCs w:val="28"/>
        </w:rPr>
        <w:t>4 к настоящему Порядку</w:t>
      </w:r>
      <w:r w:rsidRPr="00266E2C">
        <w:rPr>
          <w:color w:val="000000"/>
          <w:kern w:val="24"/>
          <w:sz w:val="28"/>
          <w:szCs w:val="28"/>
        </w:rPr>
        <w:t xml:space="preserve"> направленного субъекту финансовой отчетности после проведения камеральной проверки;</w:t>
      </w:r>
    </w:p>
    <w:p w:rsidR="00125002" w:rsidRPr="00266E2C" w:rsidRDefault="00125002" w:rsidP="00125002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266E2C">
        <w:rPr>
          <w:color w:val="000000"/>
          <w:kern w:val="24"/>
          <w:sz w:val="28"/>
          <w:szCs w:val="28"/>
        </w:rPr>
        <w:t>- датой утверждения финансовой отчетности считается датой присвоения состояния финансовой отчетности «Принят».</w:t>
      </w:r>
    </w:p>
    <w:p w:rsidR="00125002" w:rsidRDefault="00125002" w:rsidP="00125002">
      <w:pPr>
        <w:widowControl w:val="0"/>
        <w:autoSpaceDE w:val="0"/>
        <w:autoSpaceDN w:val="0"/>
        <w:spacing w:after="200" w:line="276" w:lineRule="auto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5121">
        <w:rPr>
          <w:sz w:val="28"/>
          <w:szCs w:val="28"/>
        </w:rPr>
        <w:t xml:space="preserve">9. Финансовая отчетность, содержащая исправления по результатам камеральной проверки, представляется субъектом отчетности с </w:t>
      </w:r>
      <w:r w:rsidRPr="00DC5121">
        <w:rPr>
          <w:sz w:val="28"/>
          <w:szCs w:val="28"/>
        </w:rPr>
        <w:lastRenderedPageBreak/>
        <w:t xml:space="preserve">сопроводительным письмом, содержащим указания о внесенных изменениях, в порядке, предусмотренном </w:t>
      </w:r>
      <w:hyperlink r:id="rId9" w:anchor="/document/99/902254657/XA00M3G2M3/" w:tgtFrame="_self" w:history="1">
        <w:r w:rsidRPr="00DC5121">
          <w:rPr>
            <w:rStyle w:val="a3"/>
            <w:sz w:val="28"/>
            <w:szCs w:val="28"/>
          </w:rPr>
          <w:t>пунктами 4</w:t>
        </w:r>
      </w:hyperlink>
      <w:r w:rsidRPr="00DC5121">
        <w:rPr>
          <w:sz w:val="28"/>
          <w:szCs w:val="28"/>
        </w:rPr>
        <w:t>,</w:t>
      </w:r>
      <w:hyperlink r:id="rId10" w:anchor="/document/99/902254657/XA00M6C2MG/" w:tgtFrame="_self" w:history="1">
        <w:r w:rsidRPr="00DC5121">
          <w:rPr>
            <w:rStyle w:val="a3"/>
            <w:sz w:val="28"/>
            <w:szCs w:val="28"/>
          </w:rPr>
          <w:t>6</w:t>
        </w:r>
      </w:hyperlink>
      <w:r w:rsidRPr="00DC5121">
        <w:rPr>
          <w:sz w:val="28"/>
          <w:szCs w:val="28"/>
        </w:rPr>
        <w:t>, При получении Уведомления о несоответствии бюджетной отчетности требованиям по составлению, субъект бюджетной отчетности обязан в течение срока, установленного субъектом консолидированной отчетности, предпринять необходимые меры для приведения бухгалтерской отчетности в соответствие с установленными требованиями. Внесение учреждениями изменений в ранее принятую бюджетную отчетность осуществляется по согласованию с соответствующим субъектом консолидированной отчетности.</w:t>
      </w:r>
    </w:p>
    <w:p w:rsidR="00456BFB" w:rsidRDefault="00125002" w:rsidP="00456BFB">
      <w:pPr>
        <w:widowControl w:val="0"/>
        <w:autoSpaceDE w:val="0"/>
        <w:autoSpaceDN w:val="0"/>
        <w:spacing w:afterLines="200" w:after="480" w:line="276" w:lineRule="auto"/>
        <w:ind w:firstLine="540"/>
        <w:jc w:val="both"/>
        <w:rPr>
          <w:b/>
          <w:sz w:val="28"/>
          <w:szCs w:val="28"/>
        </w:rPr>
      </w:pPr>
      <w:r w:rsidRPr="00DC5121">
        <w:rPr>
          <w:b/>
          <w:sz w:val="28"/>
          <w:szCs w:val="28"/>
        </w:rPr>
        <w:t xml:space="preserve"> </w:t>
      </w:r>
    </w:p>
    <w:p w:rsidR="00125002" w:rsidRPr="00DC5121" w:rsidRDefault="00125002" w:rsidP="00456BFB">
      <w:pPr>
        <w:widowControl w:val="0"/>
        <w:autoSpaceDE w:val="0"/>
        <w:autoSpaceDN w:val="0"/>
        <w:spacing w:afterLines="200" w:after="48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206C9">
        <w:rPr>
          <w:b/>
          <w:sz w:val="28"/>
          <w:szCs w:val="28"/>
        </w:rPr>
        <w:t xml:space="preserve">. </w:t>
      </w:r>
      <w:r w:rsidRPr="00DC5121">
        <w:rPr>
          <w:b/>
          <w:bCs/>
          <w:sz w:val="28"/>
          <w:szCs w:val="28"/>
        </w:rPr>
        <w:t>Состав сводной бюджетной отчетности, представляемой главными распорядителями (получателями) средств бюджета</w:t>
      </w:r>
      <w:r w:rsidRPr="00AA2C06">
        <w:rPr>
          <w:b/>
          <w:bCs/>
          <w:sz w:val="28"/>
          <w:szCs w:val="28"/>
        </w:rPr>
        <w:t xml:space="preserve"> города </w:t>
      </w:r>
      <w:r>
        <w:rPr>
          <w:b/>
          <w:bCs/>
          <w:sz w:val="28"/>
          <w:szCs w:val="28"/>
        </w:rPr>
        <w:t>Пыть-Яха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C5121">
        <w:rPr>
          <w:sz w:val="28"/>
          <w:szCs w:val="28"/>
        </w:rPr>
        <w:t>. В состав бюджетной отчетности, представляемой в комитет по финансам, включаются: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C5121">
        <w:rPr>
          <w:sz w:val="28"/>
          <w:szCs w:val="28"/>
        </w:rPr>
        <w:t xml:space="preserve">.1. Формы отчетов, установленные пунктом 11.1 Инструкции № 191н, формы отчетов, установленные пунктом 1 раздела 1 Приложения № 2 к Приказу 15н. </w:t>
      </w:r>
    </w:p>
    <w:p w:rsidR="00125002" w:rsidRDefault="00125002" w:rsidP="00125002">
      <w:pPr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C5121">
        <w:rPr>
          <w:sz w:val="28"/>
          <w:szCs w:val="28"/>
        </w:rPr>
        <w:t>.2. Дополнительные формы бюджетной отчетности:</w:t>
      </w:r>
    </w:p>
    <w:p w:rsidR="00125002" w:rsidRDefault="00125002" w:rsidP="00125002">
      <w:pPr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0B6F7A">
        <w:rPr>
          <w:sz w:val="28"/>
          <w:szCs w:val="28"/>
        </w:rPr>
        <w:t>Расшифровка показателей, отраженных в Справке по заключению счетов бюджетного учета отчетного</w:t>
      </w:r>
      <w:r>
        <w:rPr>
          <w:sz w:val="28"/>
          <w:szCs w:val="28"/>
        </w:rPr>
        <w:t xml:space="preserve"> финансового года (ф. 0503110);</w:t>
      </w:r>
    </w:p>
    <w:p w:rsidR="00125002" w:rsidRPr="00AA2C06" w:rsidRDefault="00125002" w:rsidP="00125002">
      <w:pPr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AA2C06">
        <w:rPr>
          <w:sz w:val="28"/>
          <w:szCs w:val="28"/>
        </w:rPr>
        <w:t>Показатели дебиторской задолженности по неналоговым доходам бюджета согласно приложения 1а, показатели кредиторской задолженности по неналоговым доходам бюджета согласно приложения 1б к настоящему Порядку;</w:t>
      </w:r>
    </w:p>
    <w:p w:rsidR="00125002" w:rsidRPr="00064808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AA2C06">
        <w:rPr>
          <w:sz w:val="28"/>
          <w:szCs w:val="28"/>
        </w:rPr>
        <w:t>Сведения о дебиторской и кредиторской задолженности (свод по типам учреждений) согласно приложению 2, Расшифровка дебиторской и кредиторской задолженности муниципального учреждения по контрагентам согласно приложению 2.1 к настоящему Порядку.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остатков средств во временном распоряжении согласно приложению 3 к настоящему Порядку;</w:t>
      </w:r>
    </w:p>
    <w:p w:rsidR="00125002" w:rsidRPr="007C1676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7C1676">
        <w:rPr>
          <w:sz w:val="28"/>
          <w:szCs w:val="28"/>
        </w:rPr>
        <w:t>Иная дополнительная информация, требуемая ФСБУ утвержденными приказами Минфина России</w:t>
      </w:r>
      <w:r>
        <w:rPr>
          <w:sz w:val="28"/>
          <w:szCs w:val="28"/>
        </w:rPr>
        <w:t>.</w:t>
      </w:r>
    </w:p>
    <w:p w:rsidR="00125002" w:rsidRPr="00DC5121" w:rsidRDefault="00125002" w:rsidP="00125002">
      <w:pPr>
        <w:widowControl w:val="0"/>
        <w:autoSpaceDE w:val="0"/>
        <w:autoSpaceDN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C5121">
        <w:rPr>
          <w:sz w:val="28"/>
          <w:szCs w:val="28"/>
        </w:rPr>
        <w:t xml:space="preserve">. Месячная бюджетная отчетность. </w:t>
      </w:r>
    </w:p>
    <w:p w:rsidR="00125002" w:rsidRPr="00DC5121" w:rsidRDefault="00125002" w:rsidP="00125002">
      <w:pPr>
        <w:widowControl w:val="0"/>
        <w:autoSpaceDE w:val="0"/>
        <w:autoSpaceDN w:val="0"/>
        <w:spacing w:after="200" w:line="276" w:lineRule="auto"/>
        <w:ind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Pr="00DC5121">
        <w:rPr>
          <w:sz w:val="28"/>
          <w:szCs w:val="28"/>
        </w:rPr>
        <w:t>.1. Объем представляемой бюджетной отчетности</w:t>
      </w:r>
      <w:r w:rsidRPr="00DC5121">
        <w:rPr>
          <w:b/>
          <w:sz w:val="28"/>
          <w:szCs w:val="28"/>
        </w:rPr>
        <w:t>:</w:t>
      </w:r>
    </w:p>
    <w:p w:rsidR="00125002" w:rsidRPr="00DC5121" w:rsidRDefault="00125002" w:rsidP="00125002">
      <w:pPr>
        <w:widowControl w:val="0"/>
        <w:autoSpaceDE w:val="0"/>
        <w:autoSpaceDN w:val="0"/>
        <w:spacing w:after="200" w:line="276" w:lineRule="auto"/>
        <w:ind w:firstLine="540"/>
        <w:contextualSpacing/>
        <w:jc w:val="both"/>
        <w:rPr>
          <w:b/>
          <w:sz w:val="28"/>
          <w:szCs w:val="28"/>
        </w:rPr>
      </w:pPr>
      <w:r w:rsidRPr="00DC5121">
        <w:rPr>
          <w:sz w:val="28"/>
          <w:szCs w:val="28"/>
        </w:rPr>
        <w:t>Справка по консолидируемым расчетам (ф.0503125);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</w:t>
      </w:r>
      <w:r w:rsidRPr="00DC5121">
        <w:rPr>
          <w:sz w:val="28"/>
          <w:szCs w:val="28"/>
        </w:rPr>
        <w:lastRenderedPageBreak/>
        <w:t>источников финансирования дефицита бюджета, главного администратора, администрато</w:t>
      </w:r>
      <w:r>
        <w:rPr>
          <w:sz w:val="28"/>
          <w:szCs w:val="28"/>
        </w:rPr>
        <w:t>ра доходов бюджета (ф.0503127)</w:t>
      </w:r>
    </w:p>
    <w:p w:rsidR="00125002" w:rsidRPr="00D5686F" w:rsidRDefault="00456BFB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hyperlink r:id="rId11" w:history="1">
        <w:r w:rsidR="00125002" w:rsidRPr="00D5686F">
          <w:rPr>
            <w:sz w:val="28"/>
            <w:szCs w:val="28"/>
          </w:rPr>
          <w:t>Отчет</w:t>
        </w:r>
      </w:hyperlink>
      <w:r w:rsidR="00125002" w:rsidRPr="00D5686F">
        <w:rPr>
          <w:sz w:val="28"/>
          <w:szCs w:val="28"/>
        </w:rPr>
        <w:t xml:space="preserve"> о бюджетных обязательствах</w:t>
      </w:r>
      <w:r w:rsidR="00125002">
        <w:rPr>
          <w:sz w:val="28"/>
          <w:szCs w:val="28"/>
        </w:rPr>
        <w:t xml:space="preserve"> (ф.0503128-НП);</w:t>
      </w:r>
    </w:p>
    <w:p w:rsidR="00125002" w:rsidRDefault="00125002" w:rsidP="00125002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Пояснительная записка (ф.0503160) – текстовая часть</w:t>
      </w:r>
      <w:r w:rsidRPr="009946D7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необходимости пояснения отдельных показателей месячной бюджетной отчетности</w:t>
      </w:r>
      <w:r w:rsidRPr="00DC5121">
        <w:rPr>
          <w:sz w:val="28"/>
          <w:szCs w:val="28"/>
        </w:rPr>
        <w:t>;</w:t>
      </w:r>
    </w:p>
    <w:p w:rsidR="00125002" w:rsidRPr="00D5686F" w:rsidRDefault="00456BFB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hyperlink r:id="rId12" w:history="1">
        <w:r w:rsidR="00125002" w:rsidRPr="00D5686F">
          <w:rPr>
            <w:sz w:val="28"/>
            <w:szCs w:val="28"/>
          </w:rPr>
          <w:t>Сведения</w:t>
        </w:r>
      </w:hyperlink>
      <w:r w:rsidR="00125002" w:rsidRPr="00D5686F">
        <w:rPr>
          <w:sz w:val="28"/>
          <w:szCs w:val="28"/>
        </w:rPr>
        <w:t xml:space="preserve"> об остатках денежных средств на счетах получателя бюджетных средств</w:t>
      </w:r>
      <w:r w:rsidR="00125002">
        <w:rPr>
          <w:sz w:val="28"/>
          <w:szCs w:val="28"/>
        </w:rPr>
        <w:t xml:space="preserve"> (ф.0503178);</w:t>
      </w:r>
    </w:p>
    <w:p w:rsidR="00125002" w:rsidRPr="00A574DE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AA2C06">
        <w:rPr>
          <w:sz w:val="28"/>
          <w:szCs w:val="28"/>
        </w:rPr>
        <w:t>Показатели дебиторской задолженности по неналоговым доходам бюджета согласно приложения 1а, показатели кредиторской задолженности по неналоговым доходам бюджета согласно приложения 1б к настоящему Порядку;</w:t>
      </w:r>
    </w:p>
    <w:p w:rsidR="00125002" w:rsidRPr="00DC5121" w:rsidRDefault="00125002" w:rsidP="00125002">
      <w:pPr>
        <w:autoSpaceDE w:val="0"/>
        <w:autoSpaceDN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AA2C06">
        <w:rPr>
          <w:sz w:val="28"/>
          <w:szCs w:val="28"/>
        </w:rPr>
        <w:t>Сведения о дебиторской и кредиторской задолженности (свод по типам учреждений) согласно приложению 2, Расшифровка дебиторской и кредиторской задолженности муниципального учреждения по контрагентам согласно приложению 2.1 к настоящему Порядку.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C5121">
        <w:rPr>
          <w:sz w:val="28"/>
          <w:szCs w:val="28"/>
        </w:rPr>
        <w:t>. Квартальная бюджетная отчетность.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Pr="00DC5121">
        <w:rPr>
          <w:sz w:val="28"/>
          <w:szCs w:val="28"/>
        </w:rPr>
        <w:t xml:space="preserve">1. Дополнительно к формам месячной отчетности в составе квартальной отчетности представляются: 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бюджетных обязательствах</w:t>
      </w:r>
      <w:r>
        <w:rPr>
          <w:sz w:val="28"/>
          <w:szCs w:val="28"/>
        </w:rPr>
        <w:t xml:space="preserve"> по состоянию на 1 июля, на 1 октября</w:t>
      </w:r>
      <w:r w:rsidRPr="00DC5121">
        <w:rPr>
          <w:sz w:val="28"/>
          <w:szCs w:val="28"/>
        </w:rPr>
        <w:t xml:space="preserve"> (ф.0503128);</w:t>
      </w:r>
    </w:p>
    <w:p w:rsidR="00125002" w:rsidRPr="00DC5121" w:rsidRDefault="00125002" w:rsidP="00125002">
      <w:pPr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движении денежных средств</w:t>
      </w:r>
      <w:r>
        <w:rPr>
          <w:sz w:val="28"/>
          <w:szCs w:val="28"/>
        </w:rPr>
        <w:t xml:space="preserve"> по состоянию на 1 июля</w:t>
      </w:r>
      <w:r w:rsidRPr="00DC5121">
        <w:rPr>
          <w:sz w:val="28"/>
          <w:szCs w:val="28"/>
        </w:rPr>
        <w:t xml:space="preserve"> (ф.0503123);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Пояснительная записка (ф.0503160) в составе: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- текстовая часть</w:t>
      </w:r>
      <w:r w:rsidRPr="00994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946D7">
        <w:rPr>
          <w:sz w:val="28"/>
          <w:szCs w:val="28"/>
        </w:rPr>
        <w:t>изложении в разрезе</w:t>
      </w:r>
      <w:r>
        <w:rPr>
          <w:sz w:val="28"/>
          <w:szCs w:val="28"/>
        </w:rPr>
        <w:t xml:space="preserve"> </w:t>
      </w:r>
      <w:r w:rsidRPr="00DC5121">
        <w:rPr>
          <w:sz w:val="28"/>
          <w:szCs w:val="28"/>
        </w:rPr>
        <w:t>непрограммных мероприятий, программ и подпрограмм, с описанием причин и условий неисполнения целевых показателей и плановых назначений за отчётный период</w:t>
      </w:r>
      <w:r>
        <w:rPr>
          <w:sz w:val="28"/>
          <w:szCs w:val="28"/>
        </w:rPr>
        <w:t xml:space="preserve"> и в случае необходимости пояснения отдельных показателей квартальной бюджетной отчетности</w:t>
      </w:r>
      <w:r w:rsidRPr="00DC5121">
        <w:rPr>
          <w:sz w:val="28"/>
          <w:szCs w:val="28"/>
        </w:rPr>
        <w:t>;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C5121">
        <w:rPr>
          <w:sz w:val="28"/>
          <w:szCs w:val="28"/>
        </w:rPr>
        <w:t>ведения об исполнении бюджета (ф.0503164);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Pr="00DC5121">
        <w:rPr>
          <w:sz w:val="28"/>
          <w:szCs w:val="28"/>
        </w:rPr>
        <w:t xml:space="preserve">ведения по дебиторской и кредиторской задолженности </w:t>
      </w:r>
      <w:r>
        <w:rPr>
          <w:sz w:val="28"/>
          <w:szCs w:val="28"/>
        </w:rPr>
        <w:t xml:space="preserve">по состоянию на 1 июля, на 1 октября </w:t>
      </w:r>
      <w:r w:rsidRPr="00DC5121">
        <w:rPr>
          <w:sz w:val="28"/>
          <w:szCs w:val="28"/>
        </w:rPr>
        <w:t>(ф.0503169);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hyperlink r:id="rId13" w:history="1">
        <w:r w:rsidRPr="00D5686F">
          <w:rPr>
            <w:sz w:val="28"/>
            <w:szCs w:val="28"/>
          </w:rPr>
          <w:t>Сведения</w:t>
        </w:r>
      </w:hyperlink>
      <w:r w:rsidRPr="00D5686F">
        <w:rPr>
          <w:sz w:val="28"/>
          <w:szCs w:val="28"/>
        </w:rPr>
        <w:t xml:space="preserve"> об исполнении судебных решений по денежным обязательствам</w:t>
      </w:r>
      <w:r>
        <w:rPr>
          <w:sz w:val="28"/>
          <w:szCs w:val="28"/>
        </w:rPr>
        <w:t xml:space="preserve"> (ф.0503296);</w:t>
      </w:r>
    </w:p>
    <w:p w:rsidR="00BC68C7" w:rsidRDefault="00BC68C7" w:rsidP="00BC68C7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-Сведения о вложениях в объекты недвижимого имущества, объектах незавершенного строительства (ф.0503190);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дебиторской задолженности по расчетам по выданным авансам по состоянию на 1 июля, 1 октября (ф.0503191);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дебиторской задолженности по контрактным обязательствам по состоянию на 1 июля, 1 октября (ф.0503192);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Расшифровка дебиторской задолженности по субсидиям организациям на </w:t>
      </w:r>
      <w:r>
        <w:rPr>
          <w:sz w:val="28"/>
          <w:szCs w:val="28"/>
        </w:rPr>
        <w:lastRenderedPageBreak/>
        <w:t>1 июля, 1 октября (ф.0503193);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остатков средств во временном распоряжении согласно приложению 3 к настоящему Порядку по состоянию на 1 июля, на 1 октября;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C5121">
        <w:rPr>
          <w:sz w:val="28"/>
          <w:szCs w:val="28"/>
        </w:rPr>
        <w:t>. Бюджетная отчетность за отчетный финансовый год.</w:t>
      </w:r>
    </w:p>
    <w:p w:rsidR="00125002" w:rsidRPr="00DC5121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C5121">
        <w:rPr>
          <w:sz w:val="28"/>
          <w:szCs w:val="28"/>
        </w:rPr>
        <w:t>.1. Объем представляемой бюджетной отчетности:</w:t>
      </w:r>
    </w:p>
    <w:p w:rsidR="00125002" w:rsidRPr="00DC5121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125002" w:rsidRPr="00DC5121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Справка по консолидируемым расчетам (ф.0503125);</w:t>
      </w:r>
    </w:p>
    <w:p w:rsidR="00125002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125002" w:rsidRDefault="00125002" w:rsidP="00125002">
      <w:pPr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0B6F7A">
        <w:rPr>
          <w:sz w:val="28"/>
          <w:szCs w:val="28"/>
        </w:rPr>
        <w:t>Расшифровка показателей, отраженных в Справке по заключению счетов бюджетного учета отчетного</w:t>
      </w:r>
      <w:r>
        <w:rPr>
          <w:sz w:val="28"/>
          <w:szCs w:val="28"/>
        </w:rPr>
        <w:t xml:space="preserve"> финансового года (ф. 0503110);</w:t>
      </w:r>
    </w:p>
    <w:p w:rsidR="00125002" w:rsidRPr="00DC5121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125002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бюджетных обязательствах (ф.0503128);</w:t>
      </w:r>
    </w:p>
    <w:p w:rsidR="00125002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бюджетных обязательствах (ф.0503128</w:t>
      </w:r>
      <w:r>
        <w:rPr>
          <w:sz w:val="28"/>
          <w:szCs w:val="28"/>
        </w:rPr>
        <w:t>-НП</w:t>
      </w:r>
      <w:r w:rsidRPr="00DC5121">
        <w:rPr>
          <w:sz w:val="28"/>
          <w:szCs w:val="28"/>
        </w:rPr>
        <w:t>);</w:t>
      </w:r>
    </w:p>
    <w:p w:rsidR="00125002" w:rsidRPr="00DC5121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финансовых результатах деятельности (ф.0503121);</w:t>
      </w:r>
    </w:p>
    <w:p w:rsidR="00125002" w:rsidRPr="00DC5121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движении денежных средств (ф.0503123)</w:t>
      </w:r>
    </w:p>
    <w:p w:rsidR="00125002" w:rsidRDefault="00125002" w:rsidP="00125002">
      <w:pPr>
        <w:widowControl w:val="0"/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Пояснительная записка (ф.0503160) в объеме, установленном                пунктами 151 – 176 Инструкции № 191н;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дебиторской задолженности по расчетам по выданным авансам по состоянию на 1 июля, 1 октября (ф.0503191);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дебиторской задолженности по контрактным обязательствам по состоянию на 1 июля, 1 октября (ф.0503192);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дебиторской задолженности по субсидиям организациям на 1 июля, 1 октября (ф.0503193);</w:t>
      </w:r>
    </w:p>
    <w:p w:rsidR="00125002" w:rsidRPr="00DC5121" w:rsidRDefault="00125002" w:rsidP="00125002">
      <w:pPr>
        <w:tabs>
          <w:tab w:val="num" w:pos="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Дополнительные формы бюджетной отчетности, представляются в соответствии с пунктом </w:t>
      </w:r>
      <w:r>
        <w:rPr>
          <w:sz w:val="28"/>
          <w:szCs w:val="28"/>
        </w:rPr>
        <w:t>10</w:t>
      </w:r>
      <w:r w:rsidRPr="00DC5121">
        <w:rPr>
          <w:sz w:val="28"/>
          <w:szCs w:val="28"/>
        </w:rPr>
        <w:t>.2. настоящего Порядка.</w:t>
      </w:r>
    </w:p>
    <w:p w:rsidR="00125002" w:rsidRPr="00DC5121" w:rsidRDefault="00125002" w:rsidP="00125002">
      <w:pPr>
        <w:tabs>
          <w:tab w:val="num" w:pos="0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Отчетность при реорганизации или ликвидации получателя бюджетных средств в соответствии с </w:t>
      </w:r>
      <w:r>
        <w:rPr>
          <w:sz w:val="28"/>
          <w:szCs w:val="28"/>
        </w:rPr>
        <w:t xml:space="preserve">разделом </w:t>
      </w:r>
      <w:r>
        <w:rPr>
          <w:sz w:val="28"/>
          <w:szCs w:val="28"/>
          <w:lang w:val="en-US"/>
        </w:rPr>
        <w:t>VI</w:t>
      </w:r>
      <w:r w:rsidRPr="0091663D">
        <w:rPr>
          <w:sz w:val="28"/>
          <w:szCs w:val="28"/>
        </w:rPr>
        <w:t xml:space="preserve"> </w:t>
      </w:r>
      <w:r w:rsidRPr="00DC5121">
        <w:rPr>
          <w:sz w:val="28"/>
          <w:szCs w:val="28"/>
        </w:rPr>
        <w:t xml:space="preserve">Инструкции №191н. 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  <w:r w:rsidRPr="00661BC7">
        <w:rPr>
          <w:sz w:val="28"/>
          <w:szCs w:val="28"/>
        </w:rPr>
        <w:tab/>
        <w:t>1</w:t>
      </w:r>
      <w:r>
        <w:rPr>
          <w:sz w:val="28"/>
          <w:szCs w:val="28"/>
        </w:rPr>
        <w:t>4</w:t>
      </w:r>
      <w:r w:rsidRPr="00661BC7">
        <w:rPr>
          <w:sz w:val="28"/>
          <w:szCs w:val="28"/>
        </w:rPr>
        <w:t xml:space="preserve">. Консолидированная бюджетная отчетность за отчетный финансовый год по главным администраторам бюджета </w:t>
      </w:r>
      <w:r>
        <w:rPr>
          <w:sz w:val="28"/>
          <w:szCs w:val="28"/>
        </w:rPr>
        <w:t>города</w:t>
      </w:r>
      <w:r w:rsidRPr="00661BC7">
        <w:rPr>
          <w:sz w:val="28"/>
          <w:szCs w:val="28"/>
        </w:rPr>
        <w:t xml:space="preserve">, главным распорядителям средств бюджета </w:t>
      </w:r>
      <w:r>
        <w:rPr>
          <w:sz w:val="28"/>
          <w:szCs w:val="28"/>
        </w:rPr>
        <w:t>города</w:t>
      </w:r>
      <w:r w:rsidRPr="00661BC7">
        <w:rPr>
          <w:sz w:val="28"/>
          <w:szCs w:val="28"/>
        </w:rPr>
        <w:t xml:space="preserve"> представляется в соответствии с пунктом </w:t>
      </w:r>
      <w:r w:rsidRPr="003B74C0">
        <w:rPr>
          <w:sz w:val="28"/>
          <w:szCs w:val="28"/>
        </w:rPr>
        <w:t>13.1.</w:t>
      </w:r>
    </w:p>
    <w:p w:rsidR="00125002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</w:p>
    <w:p w:rsidR="00125002" w:rsidRPr="00661BC7" w:rsidRDefault="00125002" w:rsidP="00125002">
      <w:pPr>
        <w:widowControl w:val="0"/>
        <w:spacing w:after="200" w:line="276" w:lineRule="auto"/>
        <w:ind w:firstLine="540"/>
        <w:contextualSpacing/>
        <w:jc w:val="both"/>
        <w:rPr>
          <w:sz w:val="28"/>
          <w:szCs w:val="28"/>
        </w:rPr>
      </w:pPr>
    </w:p>
    <w:p w:rsidR="00125002" w:rsidRPr="004A499B" w:rsidRDefault="00125002" w:rsidP="00125002">
      <w:pPr>
        <w:spacing w:line="240" w:lineRule="atLeast"/>
        <w:jc w:val="center"/>
        <w:rPr>
          <w:b/>
          <w:sz w:val="28"/>
          <w:szCs w:val="28"/>
        </w:rPr>
      </w:pPr>
    </w:p>
    <w:p w:rsidR="00125002" w:rsidRPr="00BB7FC9" w:rsidRDefault="00125002" w:rsidP="00125002">
      <w:pPr>
        <w:spacing w:line="240" w:lineRule="atLeast"/>
        <w:jc w:val="center"/>
        <w:rPr>
          <w:b/>
          <w:sz w:val="28"/>
          <w:szCs w:val="28"/>
        </w:rPr>
      </w:pPr>
    </w:p>
    <w:p w:rsidR="00125002" w:rsidRPr="00DC5121" w:rsidRDefault="00125002" w:rsidP="0012500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C5121">
        <w:rPr>
          <w:b/>
          <w:sz w:val="28"/>
          <w:szCs w:val="28"/>
        </w:rPr>
        <w:t>. Состав сводной бухгалтерской отчетности муниципальных</w:t>
      </w:r>
    </w:p>
    <w:p w:rsidR="00125002" w:rsidRDefault="00125002" w:rsidP="00125002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DC5121">
        <w:rPr>
          <w:b/>
          <w:sz w:val="28"/>
          <w:szCs w:val="28"/>
        </w:rPr>
        <w:t>бюджетных и автономных учреждений город</w:t>
      </w:r>
      <w:r>
        <w:rPr>
          <w:b/>
          <w:sz w:val="28"/>
          <w:szCs w:val="28"/>
        </w:rPr>
        <w:t>а</w:t>
      </w:r>
      <w:r w:rsidRPr="00DC5121">
        <w:rPr>
          <w:b/>
          <w:sz w:val="28"/>
          <w:szCs w:val="28"/>
        </w:rPr>
        <w:t xml:space="preserve"> Пыть-Ях</w:t>
      </w:r>
    </w:p>
    <w:p w:rsidR="00125002" w:rsidRPr="00DC5121" w:rsidRDefault="00125002" w:rsidP="00125002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:rsidR="00125002" w:rsidRPr="00DC5121" w:rsidRDefault="00125002" w:rsidP="00125002">
      <w:pPr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C5121">
        <w:rPr>
          <w:sz w:val="28"/>
          <w:szCs w:val="28"/>
        </w:rPr>
        <w:t>. В состав сводной бухгалтерской отчетности, представляемой в комитет по финансам бюджетными и автономными учреждениями город</w:t>
      </w:r>
      <w:r>
        <w:rPr>
          <w:sz w:val="28"/>
          <w:szCs w:val="28"/>
        </w:rPr>
        <w:t>а</w:t>
      </w:r>
      <w:r w:rsidRPr="00DC5121">
        <w:rPr>
          <w:sz w:val="28"/>
          <w:szCs w:val="28"/>
        </w:rPr>
        <w:t xml:space="preserve"> Пыть-Ях</w:t>
      </w:r>
      <w:r>
        <w:rPr>
          <w:sz w:val="28"/>
          <w:szCs w:val="28"/>
        </w:rPr>
        <w:t>а</w:t>
      </w:r>
      <w:r w:rsidRPr="00DC5121">
        <w:rPr>
          <w:sz w:val="28"/>
          <w:szCs w:val="28"/>
        </w:rPr>
        <w:t>, включаются формы отчетов, установленные пунктом 12 Инструкции № 33н.</w:t>
      </w:r>
    </w:p>
    <w:p w:rsidR="00125002" w:rsidRPr="00DC5121" w:rsidRDefault="00125002" w:rsidP="00125002">
      <w:pPr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C5121">
        <w:rPr>
          <w:sz w:val="28"/>
          <w:szCs w:val="28"/>
        </w:rPr>
        <w:t>. Объем сводной бухгалтерской отчетности, представляемой ежемесячно, ежеквартально</w:t>
      </w:r>
      <w:r w:rsidRPr="00DC5121">
        <w:rPr>
          <w:b/>
          <w:sz w:val="28"/>
          <w:szCs w:val="28"/>
        </w:rPr>
        <w:t>: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DC5121">
        <w:rPr>
          <w:sz w:val="28"/>
          <w:szCs w:val="28"/>
        </w:rPr>
        <w:tab/>
      </w:r>
      <w:r w:rsidRPr="00DC5121">
        <w:rPr>
          <w:b/>
          <w:sz w:val="28"/>
          <w:szCs w:val="28"/>
        </w:rPr>
        <w:t>- Ежемесячно: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б обязательствах учреждения по состоянию </w:t>
      </w:r>
      <w:r w:rsidRPr="00DC5121">
        <w:rPr>
          <w:sz w:val="28"/>
          <w:szCs w:val="28"/>
        </w:rPr>
        <w:t>(ф.0503738</w:t>
      </w:r>
      <w:r>
        <w:rPr>
          <w:sz w:val="28"/>
          <w:szCs w:val="28"/>
        </w:rPr>
        <w:t>-НП</w:t>
      </w:r>
      <w:r w:rsidRPr="00DC5121">
        <w:rPr>
          <w:sz w:val="28"/>
          <w:szCs w:val="28"/>
        </w:rPr>
        <w:t>);</w:t>
      </w:r>
    </w:p>
    <w:p w:rsidR="00125002" w:rsidRPr="006C03F8" w:rsidRDefault="00125002" w:rsidP="00125002">
      <w:pPr>
        <w:widowControl w:val="0"/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AA2C06">
        <w:rPr>
          <w:sz w:val="28"/>
          <w:szCs w:val="28"/>
        </w:rPr>
        <w:t xml:space="preserve">  Сведения о дебиторской и кредиторской задолженности (свод по типам учреждений) согласно приложению 2, Расшифровка дебиторской и кредиторской задолженности муниципального учреждения по контрагентам согласно приложению 2.1 к настоящему Порядку.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DC5121">
        <w:rPr>
          <w:b/>
          <w:sz w:val="28"/>
          <w:szCs w:val="28"/>
        </w:rPr>
        <w:t>- Ежеквартально: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Дополнительно к формам месячной отчетности в составе квартальной отчетности представляется:</w:t>
      </w:r>
    </w:p>
    <w:p w:rsidR="00125002" w:rsidRPr="001022AD" w:rsidRDefault="00125002" w:rsidP="00125002">
      <w:pPr>
        <w:autoSpaceDE w:val="0"/>
        <w:autoSpaceDN w:val="0"/>
        <w:adjustRightInd w:val="0"/>
        <w:spacing w:afterLines="200" w:after="48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по консолидируемым расчетам </w:t>
      </w:r>
      <w:r w:rsidRPr="001022AD">
        <w:rPr>
          <w:sz w:val="28"/>
          <w:szCs w:val="28"/>
        </w:rPr>
        <w:t xml:space="preserve">учреждения </w:t>
      </w:r>
      <w:hyperlink r:id="rId14" w:history="1">
        <w:r w:rsidRPr="001022AD">
          <w:rPr>
            <w:sz w:val="28"/>
            <w:szCs w:val="28"/>
          </w:rPr>
          <w:t>(ф. 0503725)</w:t>
        </w:r>
      </w:hyperlink>
      <w:r w:rsidRPr="001022AD">
        <w:rPr>
          <w:sz w:val="28"/>
          <w:szCs w:val="28"/>
        </w:rPr>
        <w:t>;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об исполнении учреждением плана его финансово – хозяйственной деятельности (ф.0503737);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движении денежных средств учреждения</w:t>
      </w:r>
      <w:r>
        <w:rPr>
          <w:sz w:val="28"/>
          <w:szCs w:val="28"/>
        </w:rPr>
        <w:t xml:space="preserve"> по состоянию на 1 июля</w:t>
      </w:r>
      <w:r w:rsidRPr="00DC5121">
        <w:rPr>
          <w:sz w:val="28"/>
          <w:szCs w:val="28"/>
        </w:rPr>
        <w:t xml:space="preserve"> (ф.0503723);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Сведения по дебиторской и кредиторской задолженности</w:t>
      </w:r>
      <w:r>
        <w:rPr>
          <w:sz w:val="28"/>
          <w:szCs w:val="28"/>
        </w:rPr>
        <w:t xml:space="preserve"> по состоянию на 1 июля, на 1 октября </w:t>
      </w:r>
      <w:r w:rsidRPr="00DC5121">
        <w:rPr>
          <w:sz w:val="28"/>
          <w:szCs w:val="28"/>
        </w:rPr>
        <w:t>(ф.0503769);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Сведения об остатках денежных средств учреждения (ф.0503779);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</w:t>
      </w:r>
      <w:r>
        <w:rPr>
          <w:sz w:val="28"/>
          <w:szCs w:val="28"/>
        </w:rPr>
        <w:t>б обязательствах учреждения по состоянию на 1 июля, 1 октября</w:t>
      </w:r>
      <w:r w:rsidRPr="00DC5121">
        <w:rPr>
          <w:sz w:val="28"/>
          <w:szCs w:val="28"/>
        </w:rPr>
        <w:t xml:space="preserve"> (ф.0503738);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>(ф. 0503760);</w:t>
      </w:r>
    </w:p>
    <w:p w:rsidR="00125002" w:rsidRDefault="00125002" w:rsidP="00125002">
      <w:pPr>
        <w:autoSpaceDE w:val="0"/>
        <w:autoSpaceDN w:val="0"/>
        <w:adjustRightInd w:val="0"/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в текстовом изложении в разрезе программ и подпрограмм, с описанием причин и условий неисполнения целевых показателей и плановых назначений за отчётный период</w:t>
      </w:r>
      <w:r>
        <w:rPr>
          <w:sz w:val="28"/>
          <w:szCs w:val="28"/>
        </w:rPr>
        <w:t>, пояснения отдельных показателей месячной бюджетной отчетности</w:t>
      </w:r>
      <w:r w:rsidRPr="00DC5121">
        <w:rPr>
          <w:sz w:val="28"/>
          <w:szCs w:val="28"/>
        </w:rPr>
        <w:t>;</w:t>
      </w:r>
    </w:p>
    <w:p w:rsidR="00125002" w:rsidRDefault="00125002" w:rsidP="00125002">
      <w:pPr>
        <w:autoSpaceDE w:val="0"/>
        <w:autoSpaceDN w:val="0"/>
        <w:adjustRightInd w:val="0"/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плана финансово-хозяйственной деятельности по состоянию на 1 июля, на 1 октября (ф.0503766);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исполнении судебных решений по денежным обязательствам учреждения (ф.0503295); 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Расшифровка остатков средств во временном расп</w:t>
      </w:r>
      <w:r>
        <w:rPr>
          <w:sz w:val="28"/>
          <w:szCs w:val="28"/>
        </w:rPr>
        <w:t>оряжении согласно приложению № 3</w:t>
      </w:r>
      <w:r w:rsidRPr="00DC5121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125002" w:rsidRPr="00AA2C06" w:rsidRDefault="00125002" w:rsidP="00125002">
      <w:pPr>
        <w:spacing w:afterLines="200" w:after="480" w:line="276" w:lineRule="auto"/>
        <w:ind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DC5121">
        <w:rPr>
          <w:sz w:val="28"/>
          <w:szCs w:val="28"/>
        </w:rPr>
        <w:t xml:space="preserve">. Объем сводной бухгалтерской отчетности, предоставляемой </w:t>
      </w:r>
      <w:r w:rsidRPr="00AA2C06">
        <w:rPr>
          <w:b/>
          <w:sz w:val="28"/>
          <w:szCs w:val="28"/>
        </w:rPr>
        <w:t>за отчетный финансовый год:</w:t>
      </w:r>
    </w:p>
    <w:p w:rsidR="00125002" w:rsidRPr="00DC5121" w:rsidRDefault="00125002" w:rsidP="00125002">
      <w:pPr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Баланс государственного (муниципального) учреждения (ф.0503730);</w:t>
      </w:r>
    </w:p>
    <w:p w:rsidR="00125002" w:rsidRPr="00DC5121" w:rsidRDefault="00125002" w:rsidP="00125002">
      <w:pPr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Справка по консолидируемым расчетам учреждения (ф.0503725);</w:t>
      </w:r>
    </w:p>
    <w:p w:rsidR="00125002" w:rsidRDefault="00125002" w:rsidP="00125002">
      <w:pPr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Справка по заключению учреждением счетов бухгалтерского учета отчетного финансового года (ф.0503710);</w:t>
      </w:r>
    </w:p>
    <w:p w:rsidR="00125002" w:rsidRDefault="00125002" w:rsidP="00125002">
      <w:pPr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0B6F7A">
        <w:rPr>
          <w:sz w:val="28"/>
          <w:szCs w:val="28"/>
        </w:rPr>
        <w:t>Расшифровка показателей, отраженных в Справке по заключению счетов бюджетного учета отчетного</w:t>
      </w:r>
      <w:r>
        <w:rPr>
          <w:sz w:val="28"/>
          <w:szCs w:val="28"/>
        </w:rPr>
        <w:t xml:space="preserve"> финансового года (ф. 0503710);</w:t>
      </w:r>
    </w:p>
    <w:p w:rsidR="00125002" w:rsidRDefault="00125002" w:rsidP="00125002">
      <w:pPr>
        <w:tabs>
          <w:tab w:val="left" w:pos="720"/>
        </w:tabs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финансовых результатах деятельности учреждения (ф.0503721);</w:t>
      </w:r>
    </w:p>
    <w:p w:rsidR="00125002" w:rsidRPr="00DC5121" w:rsidRDefault="00125002" w:rsidP="00125002">
      <w:pPr>
        <w:tabs>
          <w:tab w:val="left" w:pos="720"/>
        </w:tabs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 движении денежных средств учреждения (ф.0503723);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об исполнении учреждением плана его финансово – хозяйственной деятельности (ф.0503737);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б обязательствах учреждения по состоянию </w:t>
      </w:r>
      <w:r w:rsidRPr="00DC5121">
        <w:rPr>
          <w:sz w:val="28"/>
          <w:szCs w:val="28"/>
        </w:rPr>
        <w:t>(ф.0503738);</w:t>
      </w:r>
    </w:p>
    <w:p w:rsidR="00125002" w:rsidRPr="00DC5121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 о</w:t>
      </w:r>
      <w:r>
        <w:rPr>
          <w:sz w:val="28"/>
          <w:szCs w:val="28"/>
        </w:rPr>
        <w:t xml:space="preserve">б обязательствах учреждения по состоянию </w:t>
      </w:r>
      <w:r w:rsidRPr="00DC5121">
        <w:rPr>
          <w:sz w:val="28"/>
          <w:szCs w:val="28"/>
        </w:rPr>
        <w:t>(ф.0503738</w:t>
      </w:r>
      <w:r>
        <w:rPr>
          <w:sz w:val="28"/>
          <w:szCs w:val="28"/>
        </w:rPr>
        <w:t>-НП</w:t>
      </w:r>
      <w:r w:rsidRPr="00DC5121">
        <w:rPr>
          <w:sz w:val="28"/>
          <w:szCs w:val="28"/>
        </w:rPr>
        <w:t>);</w:t>
      </w:r>
    </w:p>
    <w:p w:rsidR="00125002" w:rsidRDefault="00125002" w:rsidP="00125002">
      <w:pPr>
        <w:widowControl w:val="0"/>
        <w:spacing w:afterLines="200" w:after="480" w:line="276" w:lineRule="auto"/>
        <w:ind w:firstLine="709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>(ф. 0503760);</w:t>
      </w:r>
    </w:p>
    <w:p w:rsidR="00125002" w:rsidRDefault="00125002" w:rsidP="00125002">
      <w:pPr>
        <w:autoSpaceDE w:val="0"/>
        <w:autoSpaceDN w:val="0"/>
        <w:adjustRightInd w:val="0"/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в текстовом изложении в разрезе программ и подпрограмм, с описанием причин и условий неисполнения целевых показателей и плановых назначений за отчётный период</w:t>
      </w:r>
      <w:r>
        <w:rPr>
          <w:sz w:val="28"/>
          <w:szCs w:val="28"/>
        </w:rPr>
        <w:t>, пояснения отдельных показателей месячной бюджетной отчетности</w:t>
      </w:r>
      <w:r w:rsidRPr="00DC5121">
        <w:rPr>
          <w:sz w:val="28"/>
          <w:szCs w:val="28"/>
        </w:rPr>
        <w:t>;</w:t>
      </w:r>
    </w:p>
    <w:p w:rsidR="00125002" w:rsidRDefault="00125002" w:rsidP="00125002">
      <w:pPr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Пояснительная записка к Балансу учреждения (ф.0503760) формируется в объеме, установленном пунктами 56 –7</w:t>
      </w:r>
      <w:r>
        <w:rPr>
          <w:sz w:val="28"/>
          <w:szCs w:val="28"/>
        </w:rPr>
        <w:t>5</w:t>
      </w:r>
      <w:r w:rsidRPr="00DC5121">
        <w:rPr>
          <w:sz w:val="28"/>
          <w:szCs w:val="28"/>
        </w:rPr>
        <w:t xml:space="preserve"> Инструкции № 33н.</w:t>
      </w:r>
    </w:p>
    <w:p w:rsidR="00125002" w:rsidRDefault="00125002" w:rsidP="00125002">
      <w:pPr>
        <w:tabs>
          <w:tab w:val="num" w:pos="0"/>
        </w:tabs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 xml:space="preserve">Расшифровка остатков средств во временном распоряжении согласно приложению № </w:t>
      </w:r>
      <w:r>
        <w:rPr>
          <w:sz w:val="28"/>
          <w:szCs w:val="28"/>
        </w:rPr>
        <w:t>3</w:t>
      </w:r>
      <w:r w:rsidRPr="00DC5121">
        <w:rPr>
          <w:sz w:val="28"/>
          <w:szCs w:val="28"/>
        </w:rPr>
        <w:t xml:space="preserve"> к настоящему Приказу;</w:t>
      </w:r>
    </w:p>
    <w:p w:rsidR="00125002" w:rsidRDefault="00125002" w:rsidP="00125002">
      <w:pPr>
        <w:tabs>
          <w:tab w:val="num" w:pos="0"/>
        </w:tabs>
        <w:spacing w:afterLines="200" w:after="480" w:line="276" w:lineRule="auto"/>
        <w:ind w:firstLine="540"/>
        <w:contextualSpacing/>
        <w:jc w:val="both"/>
        <w:rPr>
          <w:sz w:val="28"/>
          <w:szCs w:val="28"/>
        </w:rPr>
      </w:pPr>
      <w:r w:rsidRPr="00DC5121">
        <w:rPr>
          <w:sz w:val="28"/>
          <w:szCs w:val="28"/>
        </w:rPr>
        <w:t>Отчетность при реорганизации или ликвидации учреждения в соответствии с пунктами 7</w:t>
      </w:r>
      <w:r>
        <w:rPr>
          <w:sz w:val="28"/>
          <w:szCs w:val="28"/>
        </w:rPr>
        <w:t>7</w:t>
      </w:r>
      <w:r w:rsidRPr="00DC5121">
        <w:rPr>
          <w:sz w:val="28"/>
          <w:szCs w:val="28"/>
        </w:rPr>
        <w:t>-8</w:t>
      </w:r>
      <w:r>
        <w:rPr>
          <w:sz w:val="28"/>
          <w:szCs w:val="28"/>
        </w:rPr>
        <w:t>2</w:t>
      </w:r>
      <w:r w:rsidRPr="00DC5121">
        <w:rPr>
          <w:sz w:val="28"/>
          <w:szCs w:val="28"/>
        </w:rPr>
        <w:t xml:space="preserve"> Инструкции №33н.</w:t>
      </w:r>
    </w:p>
    <w:p w:rsidR="00125002" w:rsidRPr="004A499B" w:rsidRDefault="00125002" w:rsidP="00125002">
      <w:pPr>
        <w:widowControl w:val="0"/>
        <w:autoSpaceDE w:val="0"/>
        <w:autoSpaceDN w:val="0"/>
        <w:spacing w:afterLines="200" w:after="480" w:line="276" w:lineRule="auto"/>
        <w:jc w:val="both"/>
        <w:rPr>
          <w:b/>
          <w:sz w:val="28"/>
          <w:szCs w:val="28"/>
        </w:rPr>
      </w:pPr>
    </w:p>
    <w:p w:rsidR="00125002" w:rsidRDefault="00125002" w:rsidP="00125002">
      <w:pPr>
        <w:widowControl w:val="0"/>
        <w:autoSpaceDE w:val="0"/>
        <w:autoSpaceDN w:val="0"/>
        <w:spacing w:afterLines="200" w:after="4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1C2991">
        <w:rPr>
          <w:b/>
          <w:sz w:val="28"/>
          <w:szCs w:val="28"/>
        </w:rPr>
        <w:t>.</w:t>
      </w:r>
      <w:r w:rsidRPr="009206C9">
        <w:rPr>
          <w:b/>
          <w:sz w:val="28"/>
          <w:szCs w:val="28"/>
        </w:rPr>
        <w:t xml:space="preserve"> </w:t>
      </w:r>
      <w:r w:rsidRPr="009206C9">
        <w:rPr>
          <w:b/>
          <w:bCs/>
          <w:sz w:val="28"/>
          <w:szCs w:val="28"/>
        </w:rPr>
        <w:t xml:space="preserve">Периметр консолидации бюджетной (бухгалтерской) отчетности </w:t>
      </w:r>
      <w:r w:rsidRPr="009206C9">
        <w:rPr>
          <w:b/>
          <w:sz w:val="28"/>
          <w:szCs w:val="28"/>
        </w:rPr>
        <w:t>об исполнении бюджета города Пыть-Яха главными распорядителями (получателями) средств бюджета города Пыть-Яха, главными администраторами (администраторами) доходов бюджета города Пыть-Яха, главными администраторами (администраторами) источников финансирования дефицита бюджета города Пыть-Яха, сводной бухгалтерской отчетности бюджетных и автономных учреждений города Пыть-Яха</w:t>
      </w:r>
    </w:p>
    <w:p w:rsidR="00125002" w:rsidRPr="009206C9" w:rsidRDefault="00125002" w:rsidP="00125002">
      <w:pPr>
        <w:widowControl w:val="0"/>
        <w:autoSpaceDE w:val="0"/>
        <w:autoSpaceDN w:val="0"/>
        <w:spacing w:afterLines="200" w:after="480" w:line="276" w:lineRule="auto"/>
        <w:jc w:val="both"/>
        <w:rPr>
          <w:sz w:val="28"/>
          <w:szCs w:val="28"/>
        </w:rPr>
      </w:pPr>
      <w:r w:rsidRPr="009206C9">
        <w:rPr>
          <w:b/>
          <w:bCs/>
          <w:sz w:val="28"/>
          <w:szCs w:val="28"/>
        </w:rPr>
        <w:t>-</w:t>
      </w:r>
      <w:r w:rsidRPr="009206C9">
        <w:rPr>
          <w:b/>
          <w:bCs/>
          <w:sz w:val="28"/>
          <w:szCs w:val="28"/>
        </w:rPr>
        <w:tab/>
        <w:t xml:space="preserve"> субъект консолидированной отчетности</w:t>
      </w:r>
      <w:r w:rsidRPr="009206C9">
        <w:rPr>
          <w:sz w:val="28"/>
          <w:szCs w:val="28"/>
        </w:rPr>
        <w:t xml:space="preserve"> - субъекты бухгалтерской отчетности, ответственные за формирование консолидированной бухгалтерской отчетности по соответствующему периметру консолидации;</w:t>
      </w:r>
    </w:p>
    <w:p w:rsidR="00125002" w:rsidRDefault="00125002" w:rsidP="00125002">
      <w:pPr>
        <w:autoSpaceDE w:val="0"/>
        <w:autoSpaceDN w:val="0"/>
        <w:adjustRightInd w:val="0"/>
        <w:spacing w:afterLines="200" w:after="480" w:line="276" w:lineRule="auto"/>
        <w:ind w:firstLine="540"/>
        <w:jc w:val="both"/>
        <w:rPr>
          <w:sz w:val="28"/>
          <w:szCs w:val="28"/>
        </w:rPr>
      </w:pPr>
      <w:r w:rsidRPr="009206C9">
        <w:rPr>
          <w:sz w:val="28"/>
          <w:szCs w:val="28"/>
        </w:rPr>
        <w:lastRenderedPageBreak/>
        <w:t xml:space="preserve">- </w:t>
      </w:r>
      <w:r w:rsidRPr="009206C9">
        <w:rPr>
          <w:b/>
          <w:bCs/>
          <w:sz w:val="28"/>
          <w:szCs w:val="28"/>
        </w:rPr>
        <w:t>периметр консолидации отчетности</w:t>
      </w:r>
      <w:r w:rsidRPr="009206C9">
        <w:rPr>
          <w:sz w:val="28"/>
          <w:szCs w:val="28"/>
        </w:rPr>
        <w:t xml:space="preserve"> - перечень субъектов бухгалтерской отчетности (в том числе казенных учреждений), бухгалтерская отчетность которых подлежит включению в консолидированную бухгалтерскую отчетность;</w:t>
      </w:r>
    </w:p>
    <w:p w:rsidR="00125002" w:rsidRPr="009206C9" w:rsidRDefault="00125002" w:rsidP="00125002">
      <w:pPr>
        <w:autoSpaceDE w:val="0"/>
        <w:autoSpaceDN w:val="0"/>
        <w:adjustRightInd w:val="0"/>
        <w:spacing w:afterLines="200" w:after="480" w:line="276" w:lineRule="auto"/>
        <w:ind w:firstLine="540"/>
        <w:jc w:val="both"/>
        <w:rPr>
          <w:sz w:val="28"/>
          <w:szCs w:val="28"/>
        </w:rPr>
      </w:pPr>
      <w:r w:rsidRPr="009206C9">
        <w:rPr>
          <w:sz w:val="28"/>
          <w:szCs w:val="28"/>
        </w:rPr>
        <w:t xml:space="preserve">- </w:t>
      </w:r>
      <w:r w:rsidRPr="009206C9">
        <w:rPr>
          <w:b/>
          <w:bCs/>
          <w:sz w:val="28"/>
          <w:szCs w:val="28"/>
        </w:rPr>
        <w:t>субъект периметра консолидации отчетности</w:t>
      </w:r>
      <w:r w:rsidRPr="009206C9">
        <w:rPr>
          <w:sz w:val="28"/>
          <w:szCs w:val="28"/>
        </w:rPr>
        <w:t xml:space="preserve"> - субъект бухгалтерской отчетности (в том числе казенное учреждение), представляющий бюджетную отчетность субъекту консолидированной отчетности, ответственному за формирование консолидированной бухгалтерской отчетности по соответствующему периметру консолидации (далее – субъект отчетности).</w:t>
      </w:r>
    </w:p>
    <w:p w:rsidR="00125002" w:rsidRDefault="00125002" w:rsidP="00125002">
      <w:pPr>
        <w:autoSpaceDE w:val="0"/>
        <w:autoSpaceDN w:val="0"/>
        <w:adjustRightInd w:val="0"/>
        <w:spacing w:afterLines="200" w:after="480" w:line="276" w:lineRule="auto"/>
        <w:jc w:val="both"/>
        <w:rPr>
          <w:b/>
          <w:sz w:val="28"/>
          <w:szCs w:val="28"/>
        </w:rPr>
      </w:pPr>
      <w:r w:rsidRPr="009206C9">
        <w:rPr>
          <w:b/>
          <w:sz w:val="28"/>
          <w:szCs w:val="28"/>
        </w:rPr>
        <w:t>Периметр консолидации отчетности:</w:t>
      </w:r>
    </w:p>
    <w:p w:rsidR="00125002" w:rsidRPr="009206C9" w:rsidRDefault="00125002" w:rsidP="00125002">
      <w:pPr>
        <w:autoSpaceDE w:val="0"/>
        <w:autoSpaceDN w:val="0"/>
        <w:adjustRightInd w:val="0"/>
        <w:spacing w:afterLines="200" w:after="480" w:line="276" w:lineRule="auto"/>
        <w:jc w:val="both"/>
        <w:rPr>
          <w:sz w:val="28"/>
          <w:szCs w:val="28"/>
        </w:rPr>
      </w:pPr>
      <w:r w:rsidRPr="009206C9">
        <w:rPr>
          <w:sz w:val="28"/>
          <w:szCs w:val="28"/>
        </w:rPr>
        <w:t>Субъект консолидированной отчетности - комитет по финансам администрации города Пыть-Яха.</w:t>
      </w:r>
    </w:p>
    <w:p w:rsidR="00125002" w:rsidRPr="009206C9" w:rsidRDefault="00125002" w:rsidP="00125002">
      <w:pPr>
        <w:autoSpaceDE w:val="0"/>
        <w:autoSpaceDN w:val="0"/>
        <w:adjustRightInd w:val="0"/>
        <w:spacing w:afterLines="200" w:after="480" w:line="276" w:lineRule="auto"/>
        <w:jc w:val="both"/>
        <w:rPr>
          <w:sz w:val="28"/>
          <w:szCs w:val="28"/>
        </w:rPr>
      </w:pPr>
      <w:r w:rsidRPr="009206C9">
        <w:rPr>
          <w:sz w:val="28"/>
          <w:szCs w:val="28"/>
        </w:rPr>
        <w:t>Субъект отчетности – МКУ «Центр бухгалтерского и комплексного обслуживания муниципальных учреждений города Пыть-Яха» (далее – МКУ «ЦБ и КОМУ».</w:t>
      </w:r>
    </w:p>
    <w:p w:rsidR="00125002" w:rsidRPr="009206C9" w:rsidRDefault="00125002" w:rsidP="00125002">
      <w:pPr>
        <w:spacing w:after="100" w:afterAutospacing="1" w:line="276" w:lineRule="auto"/>
        <w:jc w:val="both"/>
        <w:rPr>
          <w:sz w:val="28"/>
          <w:szCs w:val="28"/>
        </w:rPr>
      </w:pPr>
      <w:r w:rsidRPr="009206C9">
        <w:rPr>
          <w:sz w:val="28"/>
          <w:szCs w:val="28"/>
        </w:rPr>
        <w:t xml:space="preserve">МКУ «ЦБ и КОМУ - СВОД АУ Образования </w:t>
      </w:r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15" w:tooltip="МАОУ &quot;КСОШ-ДС&quot;; АУ" w:history="1">
        <w:r w:rsidR="00125002" w:rsidRPr="009206C9">
          <w:rPr>
            <w:color w:val="040404"/>
            <w:sz w:val="28"/>
            <w:szCs w:val="28"/>
            <w:u w:val="single"/>
          </w:rPr>
          <w:t>МАОУ "КСОШ-ДС"; АУ</w:t>
        </w:r>
      </w:hyperlink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16" w:tooltip="МАОУ &quot;ПРОГИМНАЗИЯ &quot;СОЗВЕЗДИЕ&quot;; АУ" w:history="1">
        <w:r w:rsidR="00125002" w:rsidRPr="009206C9">
          <w:rPr>
            <w:color w:val="040404"/>
            <w:sz w:val="28"/>
            <w:szCs w:val="28"/>
            <w:u w:val="single"/>
          </w:rPr>
          <w:t>МАОУ "ПРОГИМНАЗИЯ "СОЗВЕЗДИЕ"; АУ</w:t>
        </w:r>
      </w:hyperlink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17" w:tooltip="МДОАУ ДС &quot;Белочка&quot;; АУ" w:history="1">
        <w:r w:rsidR="00125002" w:rsidRPr="009206C9">
          <w:rPr>
            <w:color w:val="040404"/>
            <w:sz w:val="28"/>
            <w:szCs w:val="28"/>
            <w:u w:val="single"/>
          </w:rPr>
          <w:t>МДОАУ ДС "Белочка"; АУ</w:t>
        </w:r>
      </w:hyperlink>
    </w:p>
    <w:p w:rsidR="00125002" w:rsidRPr="009206C9" w:rsidRDefault="00125002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r w:rsidRPr="009206C9">
        <w:rPr>
          <w:color w:val="040404"/>
          <w:sz w:val="28"/>
          <w:szCs w:val="28"/>
          <w:u w:val="single"/>
        </w:rPr>
        <w:t xml:space="preserve">МДОАУ ДС "Золотой ключик"; </w:t>
      </w:r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18" w:tooltip="МДОАУ ДС &quot;Солнышко&quot;; АУ" w:history="1">
        <w:r w:rsidR="00125002" w:rsidRPr="009206C9">
          <w:rPr>
            <w:color w:val="040404"/>
            <w:sz w:val="28"/>
            <w:szCs w:val="28"/>
            <w:u w:val="single"/>
          </w:rPr>
          <w:t>МДОАУ ДС "Солнышко"; АУ</w:t>
        </w:r>
      </w:hyperlink>
    </w:p>
    <w:p w:rsidR="00125002" w:rsidRPr="009206C9" w:rsidRDefault="00125002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r w:rsidRPr="009206C9">
        <w:rPr>
          <w:color w:val="040404"/>
          <w:sz w:val="28"/>
          <w:szCs w:val="28"/>
          <w:u w:val="single"/>
        </w:rPr>
        <w:t>МДОАУ ЦРР-ДС "Аленький цветочек"; АУ</w:t>
      </w:r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19" w:tooltip="МОАУ ДОД &quot;ЦДТ&quot;; АУ" w:history="1">
        <w:r w:rsidR="00125002" w:rsidRPr="009206C9">
          <w:rPr>
            <w:color w:val="040404"/>
            <w:sz w:val="28"/>
            <w:szCs w:val="28"/>
            <w:u w:val="single"/>
          </w:rPr>
          <w:t>МОАУ ДО "ЦДТ"; АУ</w:t>
        </w:r>
      </w:hyperlink>
    </w:p>
    <w:p w:rsidR="00125002" w:rsidRPr="009206C9" w:rsidRDefault="00125002" w:rsidP="00125002">
      <w:pPr>
        <w:tabs>
          <w:tab w:val="num" w:pos="2160"/>
        </w:tabs>
        <w:spacing w:after="100" w:afterAutospacing="1" w:line="276" w:lineRule="auto"/>
        <w:jc w:val="both"/>
        <w:rPr>
          <w:sz w:val="28"/>
          <w:szCs w:val="28"/>
        </w:rPr>
      </w:pPr>
      <w:r w:rsidRPr="009206C9">
        <w:rPr>
          <w:sz w:val="28"/>
          <w:szCs w:val="28"/>
        </w:rPr>
        <w:t xml:space="preserve">МКУ «ЦБ и КОМУ» - СВОД </w:t>
      </w:r>
      <w:hyperlink r:id="rId20" w:tooltip="АУ Прочие; РБС. Свод по АУ/БУ" w:history="1">
        <w:r w:rsidRPr="009206C9">
          <w:rPr>
            <w:color w:val="040404"/>
            <w:sz w:val="28"/>
            <w:szCs w:val="28"/>
            <w:u w:val="single"/>
          </w:rPr>
          <w:t>АУ Прочие</w:t>
        </w:r>
      </w:hyperlink>
      <w:r w:rsidRPr="009206C9">
        <w:rPr>
          <w:sz w:val="28"/>
          <w:szCs w:val="28"/>
        </w:rPr>
        <w:t xml:space="preserve"> УЧРЕЖДЕНИЯ КУЛЬТУРЫ, ФИЗИЧЕСКОЙ КУЛЬТУРЫ, МОЛОДЕЖНОЙ ПОЛИТИКИ И СМИ</w:t>
      </w:r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21" w:tooltip="МАУ &quot;Аквацентр &quot;Дельфин&quot;; АУ" w:history="1">
        <w:r w:rsidR="00125002" w:rsidRPr="009206C9">
          <w:rPr>
            <w:color w:val="040404"/>
            <w:sz w:val="28"/>
            <w:szCs w:val="28"/>
            <w:u w:val="single"/>
          </w:rPr>
          <w:t>МАУ "Аквацентр "Дельфин"; АУ</w:t>
        </w:r>
      </w:hyperlink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22" w:tooltip="МАУ &quot;ССВПД&quot;; АУ" w:history="1">
        <w:r w:rsidR="00125002" w:rsidRPr="009206C9">
          <w:rPr>
            <w:color w:val="040404"/>
            <w:sz w:val="28"/>
            <w:szCs w:val="28"/>
            <w:u w:val="single"/>
          </w:rPr>
          <w:t>МАУ "ССВПД"; АУ</w:t>
        </w:r>
      </w:hyperlink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  <w:u w:val="single"/>
        </w:rPr>
      </w:pPr>
      <w:hyperlink r:id="rId23" w:tooltip="МАУ &quot;Спорткомплекс&quot;; АУ" w:history="1">
        <w:r w:rsidR="00125002" w:rsidRPr="009206C9">
          <w:rPr>
            <w:color w:val="040404"/>
            <w:sz w:val="28"/>
            <w:szCs w:val="28"/>
            <w:u w:val="single"/>
          </w:rPr>
          <w:t>МАУ ДО СШ «ОЛИМП»; АУ</w:t>
        </w:r>
      </w:hyperlink>
    </w:p>
    <w:p w:rsidR="00125002" w:rsidRPr="009206C9" w:rsidRDefault="00456BFB" w:rsidP="00125002">
      <w:pPr>
        <w:numPr>
          <w:ilvl w:val="3"/>
          <w:numId w:val="6"/>
        </w:numPr>
        <w:spacing w:after="100" w:afterAutospacing="1" w:line="276" w:lineRule="auto"/>
        <w:ind w:left="0" w:firstLine="0"/>
        <w:jc w:val="both"/>
        <w:rPr>
          <w:sz w:val="28"/>
          <w:szCs w:val="28"/>
        </w:rPr>
      </w:pPr>
      <w:hyperlink r:id="rId24" w:tooltip="МАУ &quot;ТРК Пыть-ЯхИнформ&quot;; АУ" w:history="1">
        <w:r w:rsidR="00125002" w:rsidRPr="009206C9">
          <w:rPr>
            <w:color w:val="040404"/>
            <w:sz w:val="28"/>
            <w:szCs w:val="28"/>
            <w:u w:val="single"/>
          </w:rPr>
          <w:t>МАУ "ТРК Пыть-Ях</w:t>
        </w:r>
        <w:r w:rsidR="00125002">
          <w:rPr>
            <w:color w:val="040404"/>
            <w:sz w:val="28"/>
            <w:szCs w:val="28"/>
            <w:u w:val="single"/>
          </w:rPr>
          <w:t>и</w:t>
        </w:r>
        <w:r w:rsidR="00125002" w:rsidRPr="009206C9">
          <w:rPr>
            <w:color w:val="040404"/>
            <w:sz w:val="28"/>
            <w:szCs w:val="28"/>
            <w:u w:val="single"/>
          </w:rPr>
          <w:t>нформ"; АУ</w:t>
        </w:r>
      </w:hyperlink>
    </w:p>
    <w:p w:rsidR="00125002" w:rsidRPr="009206C9" w:rsidRDefault="00125002" w:rsidP="00125002">
      <w:pPr>
        <w:autoSpaceDE w:val="0"/>
        <w:autoSpaceDN w:val="0"/>
        <w:adjustRightInd w:val="0"/>
        <w:spacing w:afterLines="200" w:after="480" w:line="276" w:lineRule="auto"/>
        <w:jc w:val="both"/>
        <w:rPr>
          <w:sz w:val="28"/>
          <w:szCs w:val="28"/>
        </w:rPr>
      </w:pPr>
    </w:p>
    <w:tbl>
      <w:tblPr>
        <w:tblpPr w:leftFromText="180" w:rightFromText="180" w:horzAnchor="page" w:tblpX="1703" w:tblpY="-495"/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25002" w:rsidRPr="009206C9" w:rsidTr="00254CBF">
        <w:trPr>
          <w:trHeight w:val="12633"/>
          <w:tblCellSpacing w:w="0" w:type="dxa"/>
        </w:trPr>
        <w:tc>
          <w:tcPr>
            <w:tcW w:w="9781" w:type="dxa"/>
            <w:vAlign w:val="center"/>
            <w:hideMark/>
          </w:tcPr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25" w:tooltip="МАУК &quot;КДЦ&quot;; А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МАУК "КДЦ"; АУ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26" w:tooltip="МАУК &quot;КЦ: Библиотека-музей&quot;; А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 xml:space="preserve">МАУК </w:t>
              </w:r>
              <w:r w:rsidR="00125002">
                <w:rPr>
                  <w:color w:val="040404"/>
                  <w:sz w:val="28"/>
                  <w:szCs w:val="28"/>
                  <w:u w:val="single"/>
                </w:rPr>
                <w:t>МКЦ «Феникс»</w:t>
              </w:r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; АУ</w:t>
              </w:r>
            </w:hyperlink>
          </w:p>
          <w:p w:rsidR="00125002" w:rsidRPr="009206C9" w:rsidRDefault="00125002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206C9">
              <w:rPr>
                <w:sz w:val="28"/>
                <w:szCs w:val="28"/>
              </w:rPr>
              <w:t xml:space="preserve">МКУ «ЦБ и КОМУ»  - СВОД </w:t>
            </w:r>
            <w:hyperlink r:id="rId27" w:tooltip="БУ; РБС. Свод по АУ/БУ" w:history="1">
              <w:r w:rsidRPr="009206C9">
                <w:rPr>
                  <w:color w:val="040404"/>
                  <w:sz w:val="28"/>
                  <w:szCs w:val="28"/>
                  <w:u w:val="single"/>
                </w:rPr>
                <w:t>БУ ОБРАЗОВАНИЯ, ФИЗИЧЕСКОЙ КУЛЬТУРЫ И МОЛОДЕЖНОЙ ПОЛИТИКИ ; РБС. Свод по АУ/БУ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28" w:tooltip="МБОУ ДО &quot;ДШИ&quot;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МБОУ ДО "ДШИ"; 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29" w:tooltip="МБОУ СОШ №1 с углубленным изучением отдельных предметов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МБОУ СОШ №1 с углубленным изучением отдельных предметов; 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30" w:tooltip="МБОУ СОШ №4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МБОУ СОШ №4; 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31" w:tooltip="МБОУ СОШ №5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МБОУ СОШ №5; 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32" w:tooltip="МБОУ СОШ №5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МБОУ СОШ №6 имени героя советского союза Ивана Никитовича Кожедуба; 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33" w:tooltip="МБУ Спортивная школа олимпийского резерва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МБУ ДО Спортивная школа олимпийского резерва; 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34" w:tooltip="МБУ Спортивная школа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МБУ ДО Спортивная школа; БУ</w:t>
              </w:r>
            </w:hyperlink>
          </w:p>
          <w:p w:rsidR="00125002" w:rsidRPr="009206C9" w:rsidRDefault="00456BFB" w:rsidP="00254CBF">
            <w:pPr>
              <w:numPr>
                <w:ilvl w:val="3"/>
                <w:numId w:val="6"/>
              </w:numPr>
              <w:spacing w:after="100" w:afterAutospacing="1" w:line="276" w:lineRule="auto"/>
              <w:ind w:left="0" w:firstLine="0"/>
              <w:jc w:val="both"/>
              <w:rPr>
                <w:sz w:val="28"/>
                <w:szCs w:val="28"/>
              </w:rPr>
            </w:pPr>
            <w:hyperlink r:id="rId35" w:tooltip="МБУ Центр &quot;Современник&quot;; БУ" w:history="1">
              <w:r w:rsidR="00125002" w:rsidRPr="009206C9">
                <w:rPr>
                  <w:color w:val="040404"/>
                  <w:sz w:val="28"/>
                  <w:szCs w:val="28"/>
                  <w:u w:val="single"/>
                </w:rPr>
                <w:t>МБУ "Современник"; БУ</w:t>
              </w:r>
            </w:hyperlink>
          </w:p>
          <w:p w:rsidR="00125002" w:rsidRPr="009206C9" w:rsidRDefault="00125002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206C9">
              <w:rPr>
                <w:sz w:val="28"/>
                <w:szCs w:val="28"/>
              </w:rPr>
              <w:t xml:space="preserve">МКУ «ЦБ и КОМУ» - </w:t>
            </w:r>
            <w:hyperlink r:id="rId36" w:tooltip="МКУ &quot;ЕДДС г.Пыть-Яха&quot;; ПБС" w:history="1">
              <w:r w:rsidRPr="009206C9">
                <w:rPr>
                  <w:color w:val="040404"/>
                  <w:sz w:val="28"/>
                  <w:szCs w:val="28"/>
                  <w:u w:val="single"/>
                </w:rPr>
                <w:t>МКУ "ЕДДС г.Пыть-Яха"; ПБС</w:t>
              </w:r>
            </w:hyperlink>
          </w:p>
          <w:p w:rsidR="00125002" w:rsidRPr="009206C9" w:rsidRDefault="00125002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206C9">
              <w:rPr>
                <w:sz w:val="28"/>
                <w:szCs w:val="28"/>
              </w:rPr>
              <w:t xml:space="preserve">МКУ «ЦБ и КОМУ» - </w:t>
            </w:r>
            <w:hyperlink r:id="rId37" w:tooltip="МКУ &quot;УКС города Пыть-Яха&quot;; ПБС" w:history="1">
              <w:r w:rsidRPr="009206C9">
                <w:rPr>
                  <w:color w:val="040404"/>
                  <w:sz w:val="28"/>
                  <w:szCs w:val="28"/>
                  <w:u w:val="single"/>
                </w:rPr>
                <w:t>МКУ "УКС города Пыть-Яха"; ПБС</w:t>
              </w:r>
            </w:hyperlink>
          </w:p>
          <w:p w:rsidR="00125002" w:rsidRPr="009206C9" w:rsidRDefault="00125002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206C9">
              <w:rPr>
                <w:sz w:val="28"/>
                <w:szCs w:val="28"/>
              </w:rPr>
              <w:t xml:space="preserve">МКУ «ЦБ и КОМУ» - </w:t>
            </w:r>
            <w:hyperlink r:id="rId38" w:tooltip="МКУ &quot;УМТО города Пыть-Яха&quot;; ПБС" w:history="1">
              <w:r w:rsidRPr="009206C9">
                <w:rPr>
                  <w:color w:val="040404"/>
                  <w:sz w:val="28"/>
                  <w:szCs w:val="28"/>
                  <w:u w:val="single"/>
                </w:rPr>
                <w:t>МКУ "УМТО города Пыть-Яха"; ПБС</w:t>
              </w:r>
            </w:hyperlink>
          </w:p>
          <w:p w:rsidR="00125002" w:rsidRPr="008C0250" w:rsidRDefault="00456BFB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  <w:u w:val="single"/>
              </w:rPr>
            </w:pPr>
            <w:hyperlink r:id="rId39" w:tooltip="МКУ &quot;ЦБ И КОМУ города Пыть-Яха&quot;; ПБС" w:history="1">
              <w:r w:rsidR="00125002" w:rsidRPr="008C0250">
                <w:rPr>
                  <w:color w:val="040404"/>
                  <w:sz w:val="28"/>
                  <w:szCs w:val="28"/>
                  <w:u w:val="single"/>
                </w:rPr>
                <w:t>МКУ "ЦБ И КОМУ города Пыть-Яха"; ПБС</w:t>
              </w:r>
            </w:hyperlink>
          </w:p>
          <w:p w:rsidR="00125002" w:rsidRPr="009206C9" w:rsidRDefault="00125002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206C9">
              <w:rPr>
                <w:sz w:val="28"/>
                <w:szCs w:val="28"/>
              </w:rPr>
              <w:t xml:space="preserve">МКУ «ЦБ и КОМУ» </w:t>
            </w:r>
            <w:hyperlink r:id="rId40" w:tooltip="Смета - Администрация города Пыть-Яха; ПБС" w:history="1">
              <w:r w:rsidRPr="009206C9">
                <w:rPr>
                  <w:color w:val="040404"/>
                  <w:sz w:val="28"/>
                  <w:szCs w:val="28"/>
                  <w:u w:val="single"/>
                </w:rPr>
                <w:t xml:space="preserve"> - Администрация города Пыть-Яха; ГРБС, ПБС</w:t>
              </w:r>
            </w:hyperlink>
            <w:r w:rsidRPr="009206C9">
              <w:rPr>
                <w:sz w:val="28"/>
                <w:szCs w:val="28"/>
              </w:rPr>
              <w:t>, АДМ.</w:t>
            </w:r>
          </w:p>
          <w:p w:rsidR="00125002" w:rsidRPr="009206C9" w:rsidRDefault="00125002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206C9">
              <w:rPr>
                <w:sz w:val="28"/>
                <w:szCs w:val="28"/>
              </w:rPr>
              <w:t xml:space="preserve">МКУ «ЦБ и КОМУ» - </w:t>
            </w:r>
            <w:hyperlink r:id="rId41" w:tooltip="Дума города Пыть-Яха; ГРБС" w:history="1">
              <w:r w:rsidRPr="009206C9">
                <w:rPr>
                  <w:color w:val="040404"/>
                  <w:sz w:val="28"/>
                  <w:szCs w:val="28"/>
                  <w:u w:val="single"/>
                </w:rPr>
                <w:t>Дума города Пыть-Яха; ГРБС</w:t>
              </w:r>
            </w:hyperlink>
          </w:p>
          <w:p w:rsidR="00125002" w:rsidRPr="009206C9" w:rsidRDefault="00125002" w:rsidP="00254CBF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206C9">
              <w:rPr>
                <w:sz w:val="28"/>
                <w:szCs w:val="28"/>
              </w:rPr>
              <w:t xml:space="preserve">МКУ «ЦБ и КОМУ» - </w:t>
            </w:r>
            <w:hyperlink r:id="rId42" w:tooltip="Дума города Пыть-Яха; ГРБС" w:history="1">
              <w:r w:rsidRPr="009206C9">
                <w:rPr>
                  <w:color w:val="040404"/>
                  <w:sz w:val="28"/>
                  <w:szCs w:val="28"/>
                  <w:u w:val="single"/>
                </w:rPr>
                <w:t>Счетно-контрольная палата города Пыть-Яха; ГРБС</w:t>
              </w:r>
            </w:hyperlink>
          </w:p>
          <w:p w:rsidR="00125002" w:rsidRPr="009206C9" w:rsidRDefault="00125002" w:rsidP="00254CBF">
            <w:pPr>
              <w:spacing w:afterLines="200" w:after="480" w:line="276" w:lineRule="auto"/>
              <w:jc w:val="both"/>
              <w:rPr>
                <w:sz w:val="28"/>
                <w:szCs w:val="28"/>
              </w:rPr>
            </w:pPr>
          </w:p>
          <w:p w:rsidR="00125002" w:rsidRPr="009206C9" w:rsidRDefault="00125002" w:rsidP="00254CBF">
            <w:pPr>
              <w:numPr>
                <w:ilvl w:val="2"/>
                <w:numId w:val="6"/>
              </w:numPr>
              <w:spacing w:afterLines="200" w:after="480" w:line="276" w:lineRule="auto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471E2" w:rsidRPr="009E0284" w:rsidRDefault="008471E2" w:rsidP="009E0284"/>
    <w:sectPr w:rsidR="008471E2" w:rsidRPr="009E0284" w:rsidSect="00D52D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86" w:rsidRDefault="00E65E86" w:rsidP="00762689">
      <w:r>
        <w:separator/>
      </w:r>
    </w:p>
  </w:endnote>
  <w:endnote w:type="continuationSeparator" w:id="0">
    <w:p w:rsidR="00E65E86" w:rsidRDefault="00E65E86" w:rsidP="0076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86" w:rsidRDefault="00E65E86" w:rsidP="00762689">
      <w:r>
        <w:separator/>
      </w:r>
    </w:p>
  </w:footnote>
  <w:footnote w:type="continuationSeparator" w:id="0">
    <w:p w:rsidR="00E65E86" w:rsidRDefault="00E65E86" w:rsidP="0076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044"/>
    <w:multiLevelType w:val="hybridMultilevel"/>
    <w:tmpl w:val="9CA2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3B77"/>
    <w:multiLevelType w:val="hybridMultilevel"/>
    <w:tmpl w:val="BCDAAC66"/>
    <w:lvl w:ilvl="0" w:tplc="2E169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9E34BF"/>
    <w:multiLevelType w:val="hybridMultilevel"/>
    <w:tmpl w:val="774AC7BE"/>
    <w:lvl w:ilvl="0" w:tplc="3D6E27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DEB2F5B"/>
    <w:multiLevelType w:val="multilevel"/>
    <w:tmpl w:val="D1E8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45F28"/>
    <w:multiLevelType w:val="multilevel"/>
    <w:tmpl w:val="4D8C51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3F699D"/>
    <w:multiLevelType w:val="hybridMultilevel"/>
    <w:tmpl w:val="A9BAC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2"/>
    <w:rsid w:val="00010DB4"/>
    <w:rsid w:val="00010F2A"/>
    <w:rsid w:val="00014CD0"/>
    <w:rsid w:val="00015053"/>
    <w:rsid w:val="00025FB3"/>
    <w:rsid w:val="000305A9"/>
    <w:rsid w:val="000329AE"/>
    <w:rsid w:val="000419F3"/>
    <w:rsid w:val="00042961"/>
    <w:rsid w:val="00045A51"/>
    <w:rsid w:val="00051EDB"/>
    <w:rsid w:val="0005437A"/>
    <w:rsid w:val="00055860"/>
    <w:rsid w:val="00056D05"/>
    <w:rsid w:val="000616CE"/>
    <w:rsid w:val="00067FDB"/>
    <w:rsid w:val="00072C95"/>
    <w:rsid w:val="00074C76"/>
    <w:rsid w:val="00081A5C"/>
    <w:rsid w:val="00083487"/>
    <w:rsid w:val="00083545"/>
    <w:rsid w:val="000B6F5A"/>
    <w:rsid w:val="000C054A"/>
    <w:rsid w:val="000F2430"/>
    <w:rsid w:val="000F4F4A"/>
    <w:rsid w:val="000F6A39"/>
    <w:rsid w:val="000F6CD3"/>
    <w:rsid w:val="00107EF0"/>
    <w:rsid w:val="00110120"/>
    <w:rsid w:val="00115347"/>
    <w:rsid w:val="001167BA"/>
    <w:rsid w:val="00116A95"/>
    <w:rsid w:val="001217D1"/>
    <w:rsid w:val="00125002"/>
    <w:rsid w:val="001332F2"/>
    <w:rsid w:val="00133666"/>
    <w:rsid w:val="00134436"/>
    <w:rsid w:val="00136025"/>
    <w:rsid w:val="00136108"/>
    <w:rsid w:val="00144F0E"/>
    <w:rsid w:val="00146E87"/>
    <w:rsid w:val="00146EF1"/>
    <w:rsid w:val="00154D5C"/>
    <w:rsid w:val="00154FB2"/>
    <w:rsid w:val="00160102"/>
    <w:rsid w:val="001631A1"/>
    <w:rsid w:val="00183D83"/>
    <w:rsid w:val="0018720C"/>
    <w:rsid w:val="00191799"/>
    <w:rsid w:val="00192729"/>
    <w:rsid w:val="00196942"/>
    <w:rsid w:val="001A4D3B"/>
    <w:rsid w:val="001A72AD"/>
    <w:rsid w:val="001B0EB4"/>
    <w:rsid w:val="001B15A4"/>
    <w:rsid w:val="001B2616"/>
    <w:rsid w:val="001B334F"/>
    <w:rsid w:val="001B3FDF"/>
    <w:rsid w:val="001B55A4"/>
    <w:rsid w:val="001D19BD"/>
    <w:rsid w:val="001D23B3"/>
    <w:rsid w:val="001D460F"/>
    <w:rsid w:val="001D57AD"/>
    <w:rsid w:val="001E1384"/>
    <w:rsid w:val="001E1BBA"/>
    <w:rsid w:val="001E7BFC"/>
    <w:rsid w:val="001F6266"/>
    <w:rsid w:val="0020389E"/>
    <w:rsid w:val="00205145"/>
    <w:rsid w:val="0020572D"/>
    <w:rsid w:val="00215C8F"/>
    <w:rsid w:val="0023243B"/>
    <w:rsid w:val="00235B24"/>
    <w:rsid w:val="00236F22"/>
    <w:rsid w:val="0023746B"/>
    <w:rsid w:val="00237850"/>
    <w:rsid w:val="002401D7"/>
    <w:rsid w:val="002456B2"/>
    <w:rsid w:val="002527D5"/>
    <w:rsid w:val="00272AFF"/>
    <w:rsid w:val="0027364D"/>
    <w:rsid w:val="00284164"/>
    <w:rsid w:val="00285511"/>
    <w:rsid w:val="002872BB"/>
    <w:rsid w:val="0029095E"/>
    <w:rsid w:val="002913B3"/>
    <w:rsid w:val="00295B0B"/>
    <w:rsid w:val="002A02AB"/>
    <w:rsid w:val="002A3A4E"/>
    <w:rsid w:val="002B026D"/>
    <w:rsid w:val="002B1C54"/>
    <w:rsid w:val="002B73BA"/>
    <w:rsid w:val="002D1C39"/>
    <w:rsid w:val="002D3EE7"/>
    <w:rsid w:val="002D4B60"/>
    <w:rsid w:val="002E0156"/>
    <w:rsid w:val="002E12B8"/>
    <w:rsid w:val="002E2289"/>
    <w:rsid w:val="002E6E95"/>
    <w:rsid w:val="002F4065"/>
    <w:rsid w:val="002F5313"/>
    <w:rsid w:val="002F64A9"/>
    <w:rsid w:val="00300647"/>
    <w:rsid w:val="00310266"/>
    <w:rsid w:val="00315FD0"/>
    <w:rsid w:val="003209E9"/>
    <w:rsid w:val="00323F7F"/>
    <w:rsid w:val="003248A5"/>
    <w:rsid w:val="0032502F"/>
    <w:rsid w:val="00334B78"/>
    <w:rsid w:val="00337C27"/>
    <w:rsid w:val="003557A4"/>
    <w:rsid w:val="0036031D"/>
    <w:rsid w:val="003614AF"/>
    <w:rsid w:val="003614EF"/>
    <w:rsid w:val="0037684A"/>
    <w:rsid w:val="00385E3E"/>
    <w:rsid w:val="003935D5"/>
    <w:rsid w:val="00394360"/>
    <w:rsid w:val="00397E93"/>
    <w:rsid w:val="003A3FEF"/>
    <w:rsid w:val="003A56A3"/>
    <w:rsid w:val="003A5D10"/>
    <w:rsid w:val="003A6D1C"/>
    <w:rsid w:val="003A7B13"/>
    <w:rsid w:val="003B4FB3"/>
    <w:rsid w:val="003C1667"/>
    <w:rsid w:val="003C17F1"/>
    <w:rsid w:val="003C24F2"/>
    <w:rsid w:val="003C3A15"/>
    <w:rsid w:val="003C63A2"/>
    <w:rsid w:val="003C67A8"/>
    <w:rsid w:val="003D5788"/>
    <w:rsid w:val="003E4AEE"/>
    <w:rsid w:val="003E4CE3"/>
    <w:rsid w:val="003E6362"/>
    <w:rsid w:val="003E746D"/>
    <w:rsid w:val="00400A7F"/>
    <w:rsid w:val="004058CF"/>
    <w:rsid w:val="004118D7"/>
    <w:rsid w:val="004145F8"/>
    <w:rsid w:val="00416654"/>
    <w:rsid w:val="00416761"/>
    <w:rsid w:val="004272DE"/>
    <w:rsid w:val="00430F19"/>
    <w:rsid w:val="0043278C"/>
    <w:rsid w:val="00432B20"/>
    <w:rsid w:val="00440228"/>
    <w:rsid w:val="00447897"/>
    <w:rsid w:val="00451E81"/>
    <w:rsid w:val="00456BFB"/>
    <w:rsid w:val="00462870"/>
    <w:rsid w:val="0046567D"/>
    <w:rsid w:val="004711FC"/>
    <w:rsid w:val="004753C1"/>
    <w:rsid w:val="0048475E"/>
    <w:rsid w:val="004944D6"/>
    <w:rsid w:val="004A00C1"/>
    <w:rsid w:val="004A6E1C"/>
    <w:rsid w:val="004B594D"/>
    <w:rsid w:val="004F08B7"/>
    <w:rsid w:val="004F21A2"/>
    <w:rsid w:val="004F2ABE"/>
    <w:rsid w:val="004F5901"/>
    <w:rsid w:val="004F661C"/>
    <w:rsid w:val="005022E6"/>
    <w:rsid w:val="0050439B"/>
    <w:rsid w:val="00504580"/>
    <w:rsid w:val="005048E3"/>
    <w:rsid w:val="005119BB"/>
    <w:rsid w:val="00512FD9"/>
    <w:rsid w:val="00531C48"/>
    <w:rsid w:val="00536BBB"/>
    <w:rsid w:val="005405E8"/>
    <w:rsid w:val="0054438D"/>
    <w:rsid w:val="00544E54"/>
    <w:rsid w:val="00551466"/>
    <w:rsid w:val="0055488B"/>
    <w:rsid w:val="00564D74"/>
    <w:rsid w:val="005714DA"/>
    <w:rsid w:val="00571888"/>
    <w:rsid w:val="0057359B"/>
    <w:rsid w:val="00587C82"/>
    <w:rsid w:val="00595EC6"/>
    <w:rsid w:val="005A42DE"/>
    <w:rsid w:val="005A4650"/>
    <w:rsid w:val="005A6CBF"/>
    <w:rsid w:val="005B4E1A"/>
    <w:rsid w:val="005B6D1A"/>
    <w:rsid w:val="005C528E"/>
    <w:rsid w:val="005D184A"/>
    <w:rsid w:val="005D3F3C"/>
    <w:rsid w:val="005D67F8"/>
    <w:rsid w:val="005E08C9"/>
    <w:rsid w:val="005E1047"/>
    <w:rsid w:val="005E46A4"/>
    <w:rsid w:val="005F395E"/>
    <w:rsid w:val="005F5A4E"/>
    <w:rsid w:val="005F5B7C"/>
    <w:rsid w:val="005F78A7"/>
    <w:rsid w:val="00616545"/>
    <w:rsid w:val="00622CA0"/>
    <w:rsid w:val="00633CCB"/>
    <w:rsid w:val="00633E41"/>
    <w:rsid w:val="0064167B"/>
    <w:rsid w:val="00642C8F"/>
    <w:rsid w:val="006476B2"/>
    <w:rsid w:val="00647CD4"/>
    <w:rsid w:val="00651BCE"/>
    <w:rsid w:val="00651C25"/>
    <w:rsid w:val="00653015"/>
    <w:rsid w:val="00655D83"/>
    <w:rsid w:val="00662C41"/>
    <w:rsid w:val="006659B5"/>
    <w:rsid w:val="0066693D"/>
    <w:rsid w:val="00670AB2"/>
    <w:rsid w:val="006829C3"/>
    <w:rsid w:val="00683E46"/>
    <w:rsid w:val="00686D03"/>
    <w:rsid w:val="006A03F4"/>
    <w:rsid w:val="006A2062"/>
    <w:rsid w:val="006A36CA"/>
    <w:rsid w:val="006A3DA6"/>
    <w:rsid w:val="006B5031"/>
    <w:rsid w:val="006B7240"/>
    <w:rsid w:val="006C25F8"/>
    <w:rsid w:val="006D376C"/>
    <w:rsid w:val="006E105D"/>
    <w:rsid w:val="006F2116"/>
    <w:rsid w:val="0070074A"/>
    <w:rsid w:val="0070157A"/>
    <w:rsid w:val="007107EE"/>
    <w:rsid w:val="007226D9"/>
    <w:rsid w:val="0072431B"/>
    <w:rsid w:val="0072752C"/>
    <w:rsid w:val="00735D78"/>
    <w:rsid w:val="00741EDA"/>
    <w:rsid w:val="00746236"/>
    <w:rsid w:val="007509D5"/>
    <w:rsid w:val="00755221"/>
    <w:rsid w:val="00756884"/>
    <w:rsid w:val="0076050A"/>
    <w:rsid w:val="0076120F"/>
    <w:rsid w:val="00762689"/>
    <w:rsid w:val="00763488"/>
    <w:rsid w:val="00773913"/>
    <w:rsid w:val="00791EF6"/>
    <w:rsid w:val="007A1485"/>
    <w:rsid w:val="007C30AA"/>
    <w:rsid w:val="007C4935"/>
    <w:rsid w:val="007C58FB"/>
    <w:rsid w:val="007D3FD2"/>
    <w:rsid w:val="007E0F9F"/>
    <w:rsid w:val="007E4385"/>
    <w:rsid w:val="007F0721"/>
    <w:rsid w:val="008016B1"/>
    <w:rsid w:val="00814FCE"/>
    <w:rsid w:val="008208AC"/>
    <w:rsid w:val="008247AE"/>
    <w:rsid w:val="00827AD6"/>
    <w:rsid w:val="00834608"/>
    <w:rsid w:val="0083701E"/>
    <w:rsid w:val="00843BE2"/>
    <w:rsid w:val="008471E2"/>
    <w:rsid w:val="0085382C"/>
    <w:rsid w:val="00854AF6"/>
    <w:rsid w:val="008671C5"/>
    <w:rsid w:val="00870355"/>
    <w:rsid w:val="008737AD"/>
    <w:rsid w:val="00875E11"/>
    <w:rsid w:val="00877276"/>
    <w:rsid w:val="00890F9B"/>
    <w:rsid w:val="00894117"/>
    <w:rsid w:val="00895289"/>
    <w:rsid w:val="00897E96"/>
    <w:rsid w:val="008A4B1D"/>
    <w:rsid w:val="008B0864"/>
    <w:rsid w:val="008B1C3E"/>
    <w:rsid w:val="008B6A61"/>
    <w:rsid w:val="008C1152"/>
    <w:rsid w:val="008C3884"/>
    <w:rsid w:val="008C6D7C"/>
    <w:rsid w:val="008D5B3B"/>
    <w:rsid w:val="008E6648"/>
    <w:rsid w:val="008F479E"/>
    <w:rsid w:val="008F5262"/>
    <w:rsid w:val="00903479"/>
    <w:rsid w:val="00904095"/>
    <w:rsid w:val="009060A8"/>
    <w:rsid w:val="009108EB"/>
    <w:rsid w:val="00910F78"/>
    <w:rsid w:val="009162B3"/>
    <w:rsid w:val="009202F9"/>
    <w:rsid w:val="009204D4"/>
    <w:rsid w:val="009206C9"/>
    <w:rsid w:val="00924719"/>
    <w:rsid w:val="00940EED"/>
    <w:rsid w:val="009410AA"/>
    <w:rsid w:val="00941C40"/>
    <w:rsid w:val="00951704"/>
    <w:rsid w:val="00953AED"/>
    <w:rsid w:val="00957E76"/>
    <w:rsid w:val="00970EEF"/>
    <w:rsid w:val="009748E3"/>
    <w:rsid w:val="0097593B"/>
    <w:rsid w:val="009826BC"/>
    <w:rsid w:val="00983E0E"/>
    <w:rsid w:val="009862F3"/>
    <w:rsid w:val="00987F45"/>
    <w:rsid w:val="00997775"/>
    <w:rsid w:val="009A19C9"/>
    <w:rsid w:val="009A1B36"/>
    <w:rsid w:val="009A2131"/>
    <w:rsid w:val="009A39E6"/>
    <w:rsid w:val="009A48C8"/>
    <w:rsid w:val="009A549E"/>
    <w:rsid w:val="009A774A"/>
    <w:rsid w:val="009B0672"/>
    <w:rsid w:val="009B4FB5"/>
    <w:rsid w:val="009B57E0"/>
    <w:rsid w:val="009B5B86"/>
    <w:rsid w:val="009C26E8"/>
    <w:rsid w:val="009C307B"/>
    <w:rsid w:val="009E0284"/>
    <w:rsid w:val="009E2A6B"/>
    <w:rsid w:val="009E2ED6"/>
    <w:rsid w:val="009E76F7"/>
    <w:rsid w:val="009F11B1"/>
    <w:rsid w:val="009F2B1C"/>
    <w:rsid w:val="009F78F6"/>
    <w:rsid w:val="00A01D4A"/>
    <w:rsid w:val="00A03391"/>
    <w:rsid w:val="00A039A6"/>
    <w:rsid w:val="00A118D2"/>
    <w:rsid w:val="00A14631"/>
    <w:rsid w:val="00A26EE0"/>
    <w:rsid w:val="00A35258"/>
    <w:rsid w:val="00A36DEC"/>
    <w:rsid w:val="00A46F0E"/>
    <w:rsid w:val="00A521A4"/>
    <w:rsid w:val="00A554E5"/>
    <w:rsid w:val="00A648E3"/>
    <w:rsid w:val="00A82B6D"/>
    <w:rsid w:val="00A92C28"/>
    <w:rsid w:val="00A94594"/>
    <w:rsid w:val="00AA0E3A"/>
    <w:rsid w:val="00AA2964"/>
    <w:rsid w:val="00AA2C06"/>
    <w:rsid w:val="00AD01FA"/>
    <w:rsid w:val="00AD4AA2"/>
    <w:rsid w:val="00AD5376"/>
    <w:rsid w:val="00AE1323"/>
    <w:rsid w:val="00AE2262"/>
    <w:rsid w:val="00AE3362"/>
    <w:rsid w:val="00AE6460"/>
    <w:rsid w:val="00AE76EA"/>
    <w:rsid w:val="00AF1AFF"/>
    <w:rsid w:val="00AF51A6"/>
    <w:rsid w:val="00AF5FC7"/>
    <w:rsid w:val="00B04980"/>
    <w:rsid w:val="00B135BB"/>
    <w:rsid w:val="00B23B97"/>
    <w:rsid w:val="00B23E23"/>
    <w:rsid w:val="00B2480D"/>
    <w:rsid w:val="00B24C0C"/>
    <w:rsid w:val="00B25377"/>
    <w:rsid w:val="00B31B0B"/>
    <w:rsid w:val="00B5213F"/>
    <w:rsid w:val="00B547C2"/>
    <w:rsid w:val="00B63807"/>
    <w:rsid w:val="00B65905"/>
    <w:rsid w:val="00B66D23"/>
    <w:rsid w:val="00B708C9"/>
    <w:rsid w:val="00B70B86"/>
    <w:rsid w:val="00B72DBB"/>
    <w:rsid w:val="00B8088B"/>
    <w:rsid w:val="00B81761"/>
    <w:rsid w:val="00B86B40"/>
    <w:rsid w:val="00B91250"/>
    <w:rsid w:val="00BA0AB8"/>
    <w:rsid w:val="00BB4A52"/>
    <w:rsid w:val="00BB53C7"/>
    <w:rsid w:val="00BC68C7"/>
    <w:rsid w:val="00BD09E1"/>
    <w:rsid w:val="00BD2956"/>
    <w:rsid w:val="00BD39B6"/>
    <w:rsid w:val="00BD6FB1"/>
    <w:rsid w:val="00BD770C"/>
    <w:rsid w:val="00BE557B"/>
    <w:rsid w:val="00BE60CD"/>
    <w:rsid w:val="00BF0499"/>
    <w:rsid w:val="00BF062B"/>
    <w:rsid w:val="00C0196C"/>
    <w:rsid w:val="00C07A5B"/>
    <w:rsid w:val="00C104BD"/>
    <w:rsid w:val="00C12492"/>
    <w:rsid w:val="00C13787"/>
    <w:rsid w:val="00C3522A"/>
    <w:rsid w:val="00C3568A"/>
    <w:rsid w:val="00C50DA0"/>
    <w:rsid w:val="00C5257C"/>
    <w:rsid w:val="00C831D5"/>
    <w:rsid w:val="00C85E81"/>
    <w:rsid w:val="00C86B50"/>
    <w:rsid w:val="00C879F8"/>
    <w:rsid w:val="00C87A57"/>
    <w:rsid w:val="00C91B34"/>
    <w:rsid w:val="00C926F5"/>
    <w:rsid w:val="00CA3D43"/>
    <w:rsid w:val="00CA67E6"/>
    <w:rsid w:val="00CB2803"/>
    <w:rsid w:val="00CB5DDF"/>
    <w:rsid w:val="00CC63D4"/>
    <w:rsid w:val="00CC7436"/>
    <w:rsid w:val="00CD479D"/>
    <w:rsid w:val="00CD7868"/>
    <w:rsid w:val="00CE5A33"/>
    <w:rsid w:val="00CF4D14"/>
    <w:rsid w:val="00D040AB"/>
    <w:rsid w:val="00D040F5"/>
    <w:rsid w:val="00D04E53"/>
    <w:rsid w:val="00D20051"/>
    <w:rsid w:val="00D2239B"/>
    <w:rsid w:val="00D333E4"/>
    <w:rsid w:val="00D3673C"/>
    <w:rsid w:val="00D4157C"/>
    <w:rsid w:val="00D42C63"/>
    <w:rsid w:val="00D452CC"/>
    <w:rsid w:val="00D50F01"/>
    <w:rsid w:val="00D52D58"/>
    <w:rsid w:val="00D532E8"/>
    <w:rsid w:val="00D53DA0"/>
    <w:rsid w:val="00D73326"/>
    <w:rsid w:val="00D73828"/>
    <w:rsid w:val="00D73DA0"/>
    <w:rsid w:val="00D804AE"/>
    <w:rsid w:val="00D80FAC"/>
    <w:rsid w:val="00D921C4"/>
    <w:rsid w:val="00D95478"/>
    <w:rsid w:val="00D9575E"/>
    <w:rsid w:val="00D971E4"/>
    <w:rsid w:val="00DB4F74"/>
    <w:rsid w:val="00DC67DE"/>
    <w:rsid w:val="00DD6127"/>
    <w:rsid w:val="00DE6C18"/>
    <w:rsid w:val="00DF0F2B"/>
    <w:rsid w:val="00DF227D"/>
    <w:rsid w:val="00DF4233"/>
    <w:rsid w:val="00E01CF0"/>
    <w:rsid w:val="00E14287"/>
    <w:rsid w:val="00E14E21"/>
    <w:rsid w:val="00E177A7"/>
    <w:rsid w:val="00E23BDB"/>
    <w:rsid w:val="00E25D57"/>
    <w:rsid w:val="00E40FDA"/>
    <w:rsid w:val="00E41D1B"/>
    <w:rsid w:val="00E44387"/>
    <w:rsid w:val="00E468D7"/>
    <w:rsid w:val="00E50101"/>
    <w:rsid w:val="00E630C9"/>
    <w:rsid w:val="00E65BEE"/>
    <w:rsid w:val="00E65E86"/>
    <w:rsid w:val="00E744EE"/>
    <w:rsid w:val="00E74BAC"/>
    <w:rsid w:val="00E86E9E"/>
    <w:rsid w:val="00E96FCA"/>
    <w:rsid w:val="00EA1991"/>
    <w:rsid w:val="00EB40A2"/>
    <w:rsid w:val="00EB7729"/>
    <w:rsid w:val="00ED049E"/>
    <w:rsid w:val="00ED1915"/>
    <w:rsid w:val="00ED7789"/>
    <w:rsid w:val="00EE44DF"/>
    <w:rsid w:val="00EE7867"/>
    <w:rsid w:val="00F059A0"/>
    <w:rsid w:val="00F0610B"/>
    <w:rsid w:val="00F06A4E"/>
    <w:rsid w:val="00F11773"/>
    <w:rsid w:val="00F15B50"/>
    <w:rsid w:val="00F31BF2"/>
    <w:rsid w:val="00F367EE"/>
    <w:rsid w:val="00F433DF"/>
    <w:rsid w:val="00F47364"/>
    <w:rsid w:val="00F52202"/>
    <w:rsid w:val="00F5596D"/>
    <w:rsid w:val="00F7779D"/>
    <w:rsid w:val="00F953BE"/>
    <w:rsid w:val="00F97528"/>
    <w:rsid w:val="00FA654C"/>
    <w:rsid w:val="00FB3141"/>
    <w:rsid w:val="00FB4337"/>
    <w:rsid w:val="00FC358D"/>
    <w:rsid w:val="00FC7BB0"/>
    <w:rsid w:val="00FD1F7B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CEA7-C6EF-46A8-9FF5-140AE81F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FB2"/>
    <w:rPr>
      <w:color w:val="0000FF"/>
      <w:u w:val="single"/>
    </w:rPr>
  </w:style>
  <w:style w:type="table" w:styleId="a4">
    <w:name w:val="Table Grid"/>
    <w:basedOn w:val="a1"/>
    <w:uiPriority w:val="39"/>
    <w:rsid w:val="0015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8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72B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872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872BB"/>
    <w:rPr>
      <w:szCs w:val="20"/>
    </w:rPr>
  </w:style>
  <w:style w:type="character" w:customStyle="1" w:styleId="aa">
    <w:name w:val="Основной текст Знак"/>
    <w:basedOn w:val="a0"/>
    <w:link w:val="a9"/>
    <w:rsid w:val="00287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7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7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772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F642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626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47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D17ABB66AA77C7A7BA5C7C8141E1B8C371BCC5E93EEEE81915230D1EE598199A72FFAE2797D831BA1E9677C0n2k8H" TargetMode="External"/><Relationship Id="rId18" Type="http://schemas.openxmlformats.org/officeDocument/2006/relationships/hyperlink" Target="https://budgetreport.admhmao.ru/application/main" TargetMode="External"/><Relationship Id="rId26" Type="http://schemas.openxmlformats.org/officeDocument/2006/relationships/hyperlink" Target="https://budgetreport.admhmao.ru/application/main" TargetMode="External"/><Relationship Id="rId39" Type="http://schemas.openxmlformats.org/officeDocument/2006/relationships/hyperlink" Target="https://budgetreport.admhmao.ru/application/main" TargetMode="External"/><Relationship Id="rId21" Type="http://schemas.openxmlformats.org/officeDocument/2006/relationships/hyperlink" Target="https://budgetreport.admhmao.ru/application/main" TargetMode="External"/><Relationship Id="rId34" Type="http://schemas.openxmlformats.org/officeDocument/2006/relationships/hyperlink" Target="https://budgetreport.admhmao.ru/application/main" TargetMode="External"/><Relationship Id="rId42" Type="http://schemas.openxmlformats.org/officeDocument/2006/relationships/hyperlink" Target="https://budgetreport.admhmao.ru/application/mai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udgetreport.admhmao.ru/application/main" TargetMode="External"/><Relationship Id="rId20" Type="http://schemas.openxmlformats.org/officeDocument/2006/relationships/hyperlink" Target="https://budgetreport.admhmao.ru/application/main" TargetMode="External"/><Relationship Id="rId29" Type="http://schemas.openxmlformats.org/officeDocument/2006/relationships/hyperlink" Target="https://budgetreport.admhmao.ru/application/main" TargetMode="External"/><Relationship Id="rId41" Type="http://schemas.openxmlformats.org/officeDocument/2006/relationships/hyperlink" Target="https://budgetreport.admhmao.ru/application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D17ABB66AA77C7A7BA5C7C8141E1B8C371BCC3E13EEEE81915230D1EE598199A72FFAE2797D831BA1E9677C0n2k8H" TargetMode="External"/><Relationship Id="rId24" Type="http://schemas.openxmlformats.org/officeDocument/2006/relationships/hyperlink" Target="https://budgetreport.admhmao.ru/application/main" TargetMode="External"/><Relationship Id="rId32" Type="http://schemas.openxmlformats.org/officeDocument/2006/relationships/hyperlink" Target="https://budgetreport.admhmao.ru/application/main" TargetMode="External"/><Relationship Id="rId37" Type="http://schemas.openxmlformats.org/officeDocument/2006/relationships/hyperlink" Target="https://budgetreport.admhmao.ru/application/main" TargetMode="External"/><Relationship Id="rId40" Type="http://schemas.openxmlformats.org/officeDocument/2006/relationships/hyperlink" Target="https://budgetreport.admhmao.ru/application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dgetreport.admhmao.ru/application/main" TargetMode="External"/><Relationship Id="rId23" Type="http://schemas.openxmlformats.org/officeDocument/2006/relationships/hyperlink" Target="https://budgetreport.admhmao.ru/application/main" TargetMode="External"/><Relationship Id="rId28" Type="http://schemas.openxmlformats.org/officeDocument/2006/relationships/hyperlink" Target="https://budgetreport.admhmao.ru/application/main" TargetMode="External"/><Relationship Id="rId36" Type="http://schemas.openxmlformats.org/officeDocument/2006/relationships/hyperlink" Target="https://budgetreport.admhmao.ru/application/main" TargetMode="External"/><Relationship Id="rId10" Type="http://schemas.openxmlformats.org/officeDocument/2006/relationships/hyperlink" Target="https://vip.gosfinansy.ru/" TargetMode="External"/><Relationship Id="rId19" Type="http://schemas.openxmlformats.org/officeDocument/2006/relationships/hyperlink" Target="https://budgetreport.admhmao.ru/application/main" TargetMode="External"/><Relationship Id="rId31" Type="http://schemas.openxmlformats.org/officeDocument/2006/relationships/hyperlink" Target="https://budgetreport.admhmao.ru/application/mai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gosfinansy.ru/" TargetMode="External"/><Relationship Id="rId14" Type="http://schemas.openxmlformats.org/officeDocument/2006/relationships/hyperlink" Target="consultantplus://offline/ref=95127B820DE0FD39CD696EE0D495E757466D2A6A9F1DCFAD045B9EFB170CF8EA7E302327AED8510F9EFFD8811A5D7DE0F799E71EA3561503BDCDF" TargetMode="External"/><Relationship Id="rId22" Type="http://schemas.openxmlformats.org/officeDocument/2006/relationships/hyperlink" Target="https://budgetreport.admhmao.ru/application/main" TargetMode="External"/><Relationship Id="rId27" Type="http://schemas.openxmlformats.org/officeDocument/2006/relationships/hyperlink" Target="https://budgetreport.admhmao.ru/application/main" TargetMode="External"/><Relationship Id="rId30" Type="http://schemas.openxmlformats.org/officeDocument/2006/relationships/hyperlink" Target="https://budgetreport.admhmao.ru/application/main" TargetMode="External"/><Relationship Id="rId35" Type="http://schemas.openxmlformats.org/officeDocument/2006/relationships/hyperlink" Target="https://budgetreport.admhmao.ru/application/main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F9D17ABB66AA77C7A7BA5C7C8141E1B8C371BCC2EB3FEEE81915230D1EE598199A72FFAE2797D831BA1E9677C0n2k8H" TargetMode="External"/><Relationship Id="rId17" Type="http://schemas.openxmlformats.org/officeDocument/2006/relationships/hyperlink" Target="https://budgetreport.admhmao.ru/application/main" TargetMode="External"/><Relationship Id="rId25" Type="http://schemas.openxmlformats.org/officeDocument/2006/relationships/hyperlink" Target="https://budgetreport.admhmao.ru/application/main" TargetMode="External"/><Relationship Id="rId33" Type="http://schemas.openxmlformats.org/officeDocument/2006/relationships/hyperlink" Target="https://budgetreport.admhmao.ru/application/main" TargetMode="External"/><Relationship Id="rId38" Type="http://schemas.openxmlformats.org/officeDocument/2006/relationships/hyperlink" Target="https://budgetreport.admhmao.ru/application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498C-1705-419E-87EF-26D072E1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Альбина Коншина</cp:lastModifiedBy>
  <cp:revision>27</cp:revision>
  <cp:lastPrinted>2024-11-06T06:47:00Z</cp:lastPrinted>
  <dcterms:created xsi:type="dcterms:W3CDTF">2024-03-22T04:57:00Z</dcterms:created>
  <dcterms:modified xsi:type="dcterms:W3CDTF">2024-11-06T06:47:00Z</dcterms:modified>
</cp:coreProperties>
</file>